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F0" w:rsidRDefault="004A73F0">
      <w:pPr>
        <w:keepNext/>
        <w:widowControl w:val="0"/>
        <w:spacing w:after="0" w:line="276" w:lineRule="auto"/>
      </w:pPr>
    </w:p>
    <w:p w:rsidR="004A73F0" w:rsidRDefault="004A73F0">
      <w:pPr>
        <w:keepNext/>
        <w:widowControl w:val="0"/>
        <w:spacing w:after="0" w:line="276" w:lineRule="auto"/>
        <w:jc w:val="center"/>
      </w:pPr>
    </w:p>
    <w:p w:rsidR="004A73F0" w:rsidRDefault="00041244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 xml:space="preserve">Nekovalentní </w:t>
      </w:r>
      <w:proofErr w:type="gramStart"/>
      <w:r>
        <w:rPr>
          <w:rFonts w:ascii="Arial" w:eastAsia="Arial" w:hAnsi="Arial" w:cs="Arial"/>
          <w:b/>
          <w:sz w:val="44"/>
          <w:szCs w:val="44"/>
        </w:rPr>
        <w:t>interakce - řešení</w:t>
      </w:r>
      <w:proofErr w:type="gramEnd"/>
    </w:p>
    <w:p w:rsidR="004A73F0" w:rsidRDefault="004A73F0">
      <w:pPr>
        <w:pStyle w:val="LO-normal"/>
        <w:sectPr w:rsidR="004A73F0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A73F0" w:rsidRDefault="00041244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se seznámit s </w:t>
      </w:r>
      <w:hyperlink r:id="rId11">
        <w:r>
          <w:rPr>
            <w:rFonts w:ascii="Arial" w:eastAsia="Arial" w:hAnsi="Arial" w:cs="Arial"/>
            <w:sz w:val="24"/>
            <w:szCs w:val="24"/>
          </w:rPr>
          <w:t xml:space="preserve">chemickými </w:t>
        </w:r>
        <w:proofErr w:type="gramStart"/>
        <w:r>
          <w:rPr>
            <w:rFonts w:ascii="Arial" w:eastAsia="Arial" w:hAnsi="Arial" w:cs="Arial"/>
            <w:sz w:val="24"/>
            <w:szCs w:val="24"/>
          </w:rPr>
          <w:t>vazbami</w:t>
        </w:r>
        <w:proofErr w:type="gramEnd"/>
        <w:r>
          <w:rPr>
            <w:rFonts w:ascii="Arial" w:eastAsia="Arial" w:hAnsi="Arial" w:cs="Arial"/>
            <w:sz w:val="24"/>
            <w:szCs w:val="24"/>
          </w:rPr>
          <w:t xml:space="preserve"> a především s nekovalentními interakcemi a vodíkovou vazbou.</w:t>
        </w:r>
      </w:hyperlink>
    </w:p>
    <w:p w:rsidR="004A73F0" w:rsidRDefault="00041244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</w:rPr>
          <w:t>Nekovalentní interakce</w:t>
        </w:r>
      </w:hyperlink>
    </w:p>
    <w:p w:rsidR="004A73F0" w:rsidRDefault="00041244">
      <w:bookmarkStart w:id="0" w:name="_GoBack"/>
      <w:bookmarkEnd w:id="0"/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</w:t>
      </w:r>
    </w:p>
    <w:p w:rsidR="004A73F0" w:rsidRDefault="004A73F0">
      <w:pPr>
        <w:pStyle w:val="LO-normal"/>
        <w:sectPr w:rsidR="004A73F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A73F0" w:rsidRDefault="0004124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Zakroužkujte správné odpovědi v tabulce:</w:t>
      </w:r>
    </w:p>
    <w:p w:rsidR="004A73F0" w:rsidRDefault="004A73F0"/>
    <w:tbl>
      <w:tblPr>
        <w:tblW w:w="90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864"/>
        <w:gridCol w:w="2250"/>
        <w:gridCol w:w="3886"/>
      </w:tblGrid>
      <w:tr w:rsidR="004A73F0">
        <w:trPr>
          <w:trHeight w:val="573"/>
          <w:jc w:val="center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4A73F0" w:rsidRDefault="00041244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Druh vazby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4A73F0" w:rsidRDefault="00041244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Síla vazby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4A73F0" w:rsidRDefault="00041244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Dosah va</w:t>
            </w:r>
            <w:r>
              <w:rPr>
                <w:rFonts w:ascii="Arial" w:eastAsia="Arial" w:hAnsi="Arial" w:cs="Arial"/>
                <w:b/>
              </w:rPr>
              <w:t>zby</w:t>
            </w:r>
          </w:p>
        </w:tc>
      </w:tr>
      <w:tr w:rsidR="004A73F0">
        <w:trPr>
          <w:trHeight w:val="675"/>
          <w:jc w:val="center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73F0" w:rsidRDefault="0004124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Kovalentní vazba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73F0" w:rsidRDefault="0004124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F3399"/>
              </w:rPr>
            </w:pPr>
            <w:r>
              <w:rPr>
                <w:rFonts w:ascii="Arial" w:eastAsia="Arial" w:hAnsi="Arial" w:cs="Arial"/>
                <w:b/>
                <w:strike/>
              </w:rPr>
              <w:t>slabá</w:t>
            </w:r>
            <w:r>
              <w:rPr>
                <w:rFonts w:ascii="Arial" w:eastAsia="Arial" w:hAnsi="Arial" w:cs="Arial"/>
                <w:b/>
              </w:rPr>
              <w:t xml:space="preserve"> / </w:t>
            </w:r>
            <w:r>
              <w:rPr>
                <w:rFonts w:ascii="Arial" w:eastAsia="Arial" w:hAnsi="Arial" w:cs="Arial"/>
                <w:b/>
                <w:color w:val="FF3399"/>
              </w:rPr>
              <w:t xml:space="preserve">silná 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73F0" w:rsidRDefault="0004124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krátký</w:t>
            </w:r>
            <w:r>
              <w:rPr>
                <w:rFonts w:ascii="Arial" w:eastAsia="Arial" w:hAnsi="Arial" w:cs="Arial"/>
                <w:b/>
              </w:rPr>
              <w:t xml:space="preserve"> / </w:t>
            </w:r>
            <w:r>
              <w:rPr>
                <w:rFonts w:ascii="Arial" w:eastAsia="Arial" w:hAnsi="Arial" w:cs="Arial"/>
                <w:b/>
                <w:strike/>
              </w:rPr>
              <w:t>daleký</w:t>
            </w:r>
          </w:p>
        </w:tc>
      </w:tr>
      <w:tr w:rsidR="004A73F0">
        <w:trPr>
          <w:trHeight w:val="675"/>
          <w:jc w:val="center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73F0" w:rsidRDefault="0004124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Nekovalentní vazba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73F0" w:rsidRDefault="00041244">
            <w:pPr>
              <w:keepNext/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slabá</w:t>
            </w:r>
            <w:r>
              <w:rPr>
                <w:rFonts w:ascii="Arial" w:eastAsia="Arial" w:hAnsi="Arial" w:cs="Arial"/>
                <w:b/>
              </w:rPr>
              <w:t xml:space="preserve"> / </w:t>
            </w:r>
            <w:r>
              <w:rPr>
                <w:rFonts w:ascii="Arial" w:eastAsia="Arial" w:hAnsi="Arial" w:cs="Arial"/>
                <w:b/>
                <w:strike/>
              </w:rPr>
              <w:t>silná</w:t>
            </w:r>
          </w:p>
        </w:tc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73F0" w:rsidRDefault="0004124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color w:val="FF3399"/>
              </w:rPr>
            </w:pPr>
            <w:r>
              <w:rPr>
                <w:rFonts w:ascii="Arial" w:eastAsia="Arial" w:hAnsi="Arial" w:cs="Arial"/>
                <w:b/>
                <w:strike/>
              </w:rPr>
              <w:t>krátký</w:t>
            </w:r>
            <w:r>
              <w:rPr>
                <w:rFonts w:ascii="Arial" w:eastAsia="Arial" w:hAnsi="Arial" w:cs="Arial"/>
                <w:b/>
              </w:rPr>
              <w:t xml:space="preserve"> / </w:t>
            </w:r>
            <w:r>
              <w:rPr>
                <w:rFonts w:ascii="Arial" w:eastAsia="Arial" w:hAnsi="Arial" w:cs="Arial"/>
                <w:b/>
                <w:color w:val="FF3399"/>
              </w:rPr>
              <w:t>daleký</w:t>
            </w:r>
          </w:p>
        </w:tc>
      </w:tr>
    </w:tbl>
    <w:p w:rsidR="004A73F0" w:rsidRDefault="004A73F0">
      <w:pPr>
        <w:spacing w:line="240" w:lineRule="auto"/>
        <w:ind w:left="720" w:right="401" w:hanging="360"/>
        <w:rPr>
          <w:rFonts w:ascii="Arial" w:eastAsia="Arial" w:hAnsi="Arial" w:cs="Arial"/>
          <w:b/>
        </w:rPr>
      </w:pPr>
    </w:p>
    <w:p w:rsidR="004A73F0" w:rsidRDefault="004A73F0">
      <w:p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</w:p>
    <w:p w:rsidR="004A73F0" w:rsidRDefault="00041244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text o vodíkové vazbě:</w:t>
      </w:r>
    </w:p>
    <w:p w:rsidR="004A73F0" w:rsidRDefault="00041244">
      <w:pPr>
        <w:spacing w:line="480" w:lineRule="auto"/>
        <w:ind w:left="720" w:right="-11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Vodíková vazba je </w:t>
      </w:r>
      <w:r>
        <w:rPr>
          <w:rFonts w:ascii="Arial" w:eastAsia="Arial" w:hAnsi="Arial" w:cs="Arial"/>
          <w:color w:val="FF3399"/>
          <w:sz w:val="24"/>
          <w:szCs w:val="24"/>
        </w:rPr>
        <w:t>nejsilnější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z nekovalentních interakcí. Vodíkovou vazbu tvoří atom </w:t>
      </w:r>
      <w:r>
        <w:rPr>
          <w:rFonts w:ascii="Arial" w:eastAsia="Arial" w:hAnsi="Arial" w:cs="Arial"/>
          <w:color w:val="FF3399"/>
          <w:sz w:val="24"/>
          <w:szCs w:val="24"/>
        </w:rPr>
        <w:t>vodíku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vázaný na silně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elektronegativní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prvek (například </w:t>
      </w:r>
      <w:r>
        <w:rPr>
          <w:rFonts w:ascii="Arial" w:eastAsia="Arial" w:hAnsi="Arial" w:cs="Arial"/>
          <w:color w:val="FF3399"/>
          <w:sz w:val="24"/>
          <w:szCs w:val="24"/>
        </w:rPr>
        <w:t>kyslík, dusík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) s atomem, který má </w:t>
      </w:r>
      <w:r>
        <w:rPr>
          <w:rFonts w:ascii="Arial" w:eastAsia="Arial" w:hAnsi="Arial" w:cs="Arial"/>
          <w:color w:val="FF3399"/>
          <w:sz w:val="24"/>
          <w:szCs w:val="24"/>
        </w:rPr>
        <w:t>volný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elektronový pár.</w:t>
      </w:r>
    </w:p>
    <w:p w:rsidR="004A73F0" w:rsidRDefault="00041244">
      <w:pPr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Nakreslete příklad vodíkové vazby.</w:t>
      </w:r>
    </w:p>
    <w:p w:rsidR="004A73F0" w:rsidRDefault="00041244">
      <w:pP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390525</wp:posOffset>
            </wp:positionV>
            <wp:extent cx="3204845" cy="828675"/>
            <wp:effectExtent l="0" t="0" r="0" b="0"/>
            <wp:wrapTopAndBottom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3F0" w:rsidRDefault="004A73F0">
      <w:pP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4A73F0" w:rsidRDefault="004A73F0">
      <w:pP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4A73F0" w:rsidRDefault="00041244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Která z uvedených interakcí nepatří mezi nekova</w:t>
      </w:r>
      <w:r>
        <w:rPr>
          <w:rFonts w:ascii="Arial" w:eastAsia="Arial" w:hAnsi="Arial" w:cs="Arial"/>
          <w:b/>
          <w:sz w:val="24"/>
          <w:szCs w:val="24"/>
        </w:rPr>
        <w:t>lentní interakce?</w:t>
      </w:r>
    </w:p>
    <w:p w:rsidR="004A73F0" w:rsidRDefault="00041244">
      <w:pPr>
        <w:numPr>
          <w:ilvl w:val="0"/>
          <w:numId w:val="3"/>
        </w:numPr>
        <w:spacing w:after="0" w:line="360" w:lineRule="auto"/>
        <w:ind w:right="403"/>
        <w:rPr>
          <w:sz w:val="30"/>
          <w:szCs w:val="3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Coulombické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síly</w:t>
      </w:r>
    </w:p>
    <w:p w:rsidR="004A73F0" w:rsidRDefault="00041244">
      <w:pPr>
        <w:numPr>
          <w:ilvl w:val="0"/>
          <w:numId w:val="3"/>
        </w:numPr>
        <w:spacing w:after="0" w:line="360" w:lineRule="auto"/>
        <w:ind w:right="403"/>
        <w:rPr>
          <w:sz w:val="30"/>
          <w:szCs w:val="30"/>
        </w:rPr>
      </w:pPr>
      <w:r>
        <w:rPr>
          <w:rFonts w:ascii="Arial" w:eastAsia="Arial" w:hAnsi="Arial" w:cs="Arial"/>
          <w:sz w:val="24"/>
          <w:szCs w:val="24"/>
        </w:rPr>
        <w:t xml:space="preserve">vodíková vazba </w:t>
      </w:r>
    </w:p>
    <w:p w:rsidR="004A73F0" w:rsidRDefault="00041244">
      <w:pPr>
        <w:numPr>
          <w:ilvl w:val="0"/>
          <w:numId w:val="3"/>
        </w:numPr>
        <w:spacing w:after="0" w:line="480" w:lineRule="auto"/>
        <w:ind w:right="403"/>
        <w:rPr>
          <w:color w:val="FF3399"/>
          <w:sz w:val="30"/>
          <w:szCs w:val="30"/>
        </w:rPr>
      </w:pPr>
      <w:r>
        <w:rPr>
          <w:rFonts w:ascii="Arial" w:eastAsia="Arial" w:hAnsi="Arial" w:cs="Arial"/>
          <w:color w:val="FF3399"/>
          <w:sz w:val="24"/>
          <w:szCs w:val="24"/>
        </w:rPr>
        <w:t>kovová vazba</w:t>
      </w:r>
    </w:p>
    <w:p w:rsidR="004A73F0" w:rsidRDefault="004A73F0">
      <w:pPr>
        <w:spacing w:after="0"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4A73F0" w:rsidRDefault="00041244">
      <w:pPr>
        <w:numPr>
          <w:ilvl w:val="0"/>
          <w:numId w:val="1"/>
        </w:numPr>
        <w:spacing w:line="240" w:lineRule="auto"/>
        <w:ind w:right="401"/>
      </w:pPr>
      <w:bookmarkStart w:id="1" w:name="_heading=h.wyv1et8dxerw"/>
      <w:bookmarkEnd w:id="1"/>
      <w:r>
        <w:rPr>
          <w:rFonts w:ascii="Arial" w:eastAsia="Arial" w:hAnsi="Arial" w:cs="Arial"/>
          <w:b/>
          <w:sz w:val="24"/>
          <w:szCs w:val="24"/>
        </w:rPr>
        <w:t>Proč jsou pro přírodní procesy důležité nekovalentní interakce?</w:t>
      </w:r>
    </w:p>
    <w:p w:rsidR="004A73F0" w:rsidRDefault="00041244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Nekovalentní vazby jsou reverzibilní na rozdíl od kovalentních vazeb. Příroda potřebuje pružně reagovat například na změny v prostředí, proto potřebuje reverzibilní vazby. </w:t>
      </w:r>
    </w:p>
    <w:p w:rsidR="004A73F0" w:rsidRDefault="004A73F0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</w:p>
    <w:p w:rsidR="004A73F0" w:rsidRDefault="00041244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4A73F0" w:rsidRDefault="004A73F0">
      <w:pPr>
        <w:pStyle w:val="LO-normal"/>
        <w:sectPr w:rsidR="004A73F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A73F0" w:rsidRDefault="00041244">
      <w:pPr>
        <w:keepNext/>
        <w:spacing w:line="480" w:lineRule="auto"/>
        <w:ind w:left="284" w:right="-1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6167120</wp:posOffset>
                </wp:positionV>
                <wp:extent cx="6942455" cy="108839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80" cy="10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73F0" w:rsidRDefault="0004124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</w:t>
                            </w:r>
                            <w:r>
                              <w:rPr>
                                <w:color w:val="000000"/>
                              </w:rPr>
                              <w:t>dílo je licencováno pod licencí Creative Commons [CC BY-NC 4.0]. Licenční podmínky navštivte na adrese [https://creativecommons.org/choose/?lang=cs].</w:t>
                            </w:r>
                          </w:p>
                          <w:p w:rsidR="004A73F0" w:rsidRDefault="004A73F0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pt;margin-top:485.6pt;width:546.55pt;height:85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</w:t>
      </w:r>
    </w:p>
    <w:p w:rsidR="004A73F0" w:rsidRDefault="004A73F0">
      <w:pPr>
        <w:pStyle w:val="LO-normal"/>
        <w:sectPr w:rsidR="004A73F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41244" w:rsidRDefault="00041244"/>
    <w:sectPr w:rsidR="0004124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44" w:rsidRDefault="00041244">
      <w:pPr>
        <w:spacing w:after="0" w:line="240" w:lineRule="auto"/>
      </w:pPr>
      <w:r>
        <w:separator/>
      </w:r>
    </w:p>
  </w:endnote>
  <w:endnote w:type="continuationSeparator" w:id="0">
    <w:p w:rsidR="00041244" w:rsidRDefault="000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F0" w:rsidRDefault="004A73F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A73F0">
      <w:tc>
        <w:tcPr>
          <w:tcW w:w="3485" w:type="dxa"/>
          <w:shd w:val="clear" w:color="auto" w:fill="auto"/>
        </w:tcPr>
        <w:p w:rsidR="004A73F0" w:rsidRDefault="004A73F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A73F0" w:rsidRDefault="004A73F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A73F0" w:rsidRDefault="004A73F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A73F0" w:rsidRDefault="0004124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44" w:rsidRDefault="00041244">
      <w:pPr>
        <w:spacing w:after="0" w:line="240" w:lineRule="auto"/>
      </w:pPr>
      <w:r>
        <w:separator/>
      </w:r>
    </w:p>
  </w:footnote>
  <w:footnote w:type="continuationSeparator" w:id="0">
    <w:p w:rsidR="00041244" w:rsidRDefault="0004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F0" w:rsidRDefault="004A73F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4A73F0">
      <w:trPr>
        <w:trHeight w:val="1278"/>
      </w:trPr>
      <w:tc>
        <w:tcPr>
          <w:tcW w:w="10455" w:type="dxa"/>
          <w:shd w:val="clear" w:color="auto" w:fill="auto"/>
        </w:tcPr>
        <w:p w:rsidR="004A73F0" w:rsidRDefault="0004124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73F0" w:rsidRDefault="004A73F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F0" w:rsidRDefault="0004124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B31"/>
    <w:multiLevelType w:val="multilevel"/>
    <w:tmpl w:val="0282AE4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477"/>
    <w:multiLevelType w:val="multilevel"/>
    <w:tmpl w:val="8B860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B75956"/>
    <w:multiLevelType w:val="multilevel"/>
    <w:tmpl w:val="11067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6D2396A"/>
    <w:multiLevelType w:val="multilevel"/>
    <w:tmpl w:val="A3601C90"/>
    <w:lvl w:ilvl="0">
      <w:start w:val="1"/>
      <w:numFmt w:val="bullet"/>
      <w:lvlText w:val="□"/>
      <w:lvlJc w:val="left"/>
      <w:pPr>
        <w:ind w:left="1440" w:hanging="360"/>
      </w:pPr>
      <w:rPr>
        <w:rFonts w:ascii="Arial" w:hAnsi="Arial" w:cs="Arial" w:hint="default"/>
        <w:b/>
        <w:color w:val="000000"/>
        <w:sz w:val="30"/>
        <w:szCs w:val="28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F0"/>
    <w:rsid w:val="00041244"/>
    <w:rsid w:val="004A73F0"/>
    <w:rsid w:val="00B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34F0-948A-4830-B151-1AABC5D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Arial" w:cs="Arial"/>
      <w:b/>
      <w:color w:val="000000"/>
      <w:sz w:val="30"/>
      <w:szCs w:val="28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uiPriority w:val="11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69-nekovalentni-intera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+xEyeEYp9nbXPsttS7xDhrwC5A==">AMUW2mWoq1AnlPKBF970YVEjIxiqKdolZq1T4Inpns6Oh+FX+t6lKjKRicRwpw3Mmi8PUCuan/9+NcH1VSN9nqY42JzaWYeE72TgHnW/RdzRCAoORT0roz3CaZR/rDOl3MxM5BOkiQwq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2</cp:revision>
  <dcterms:created xsi:type="dcterms:W3CDTF">2023-01-03T12:26:00Z</dcterms:created>
  <dcterms:modified xsi:type="dcterms:W3CDTF">2023-01-03T12:26:00Z</dcterms:modified>
  <dc:language>cs-CZ</dc:language>
</cp:coreProperties>
</file>