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DBD" w14:textId="05E535D7" w:rsidR="00F23726" w:rsidRPr="003A7B0E" w:rsidRDefault="002E39C9">
      <w:pPr>
        <w:pStyle w:val="Nadpis1"/>
        <w:rPr>
          <w:rFonts w:ascii="Times New Roman" w:eastAsia="Calibri" w:hAnsi="Times New Roman" w:cs="Times New Roman"/>
          <w:b/>
          <w:lang w:val="cs-CZ"/>
        </w:rPr>
      </w:pPr>
      <w:r>
        <w:rPr>
          <w:rFonts w:ascii="Times New Roman" w:eastAsia="Calibri" w:hAnsi="Times New Roman" w:cs="Times New Roman"/>
          <w:b/>
          <w:lang w:val="cs-CZ"/>
        </w:rPr>
        <w:t>Kdo zaplatí účet?</w:t>
      </w:r>
    </w:p>
    <w:p w14:paraId="6A6DD48A" w14:textId="77777777" w:rsidR="00686AFE" w:rsidRPr="003A7B0E" w:rsidRDefault="00686AFE" w:rsidP="00686AFE">
      <w:pPr>
        <w:rPr>
          <w:rFonts w:ascii="Times New Roman" w:hAnsi="Times New Roman" w:cs="Times New Roman"/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23726" w:rsidRPr="003A7B0E" w14:paraId="0D1BC0F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FB8D2" w14:textId="0C0CF52B" w:rsidR="00686AFE" w:rsidRPr="003A7B0E" w:rsidRDefault="00042AE2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> </w:t>
            </w:r>
            <w:r w:rsidR="00686AFE"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Video 1: </w:t>
            </w:r>
            <w:hyperlink r:id="rId7" w:history="1">
              <w:r w:rsidR="002E39C9"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Voda mizí z krajiny</w:t>
              </w:r>
            </w:hyperlink>
          </w:p>
          <w:p w14:paraId="2EA228A2" w14:textId="1DF30075" w:rsidR="00686AFE" w:rsidRPr="003A7B0E" w:rsidRDefault="00686AFE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 Video 2: </w:t>
            </w:r>
            <w:hyperlink r:id="rId8" w:history="1">
              <w:r w:rsidR="002E39C9"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Hospodaření s elektřinou v Česku</w:t>
              </w:r>
            </w:hyperlink>
          </w:p>
          <w:p w14:paraId="4A9FD50D" w14:textId="73135F52" w:rsidR="002E39C9" w:rsidRDefault="00686AFE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 w:rsidRPr="003A7B0E"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 Video 3: </w:t>
            </w:r>
            <w:hyperlink r:id="rId9" w:history="1">
              <w:r w:rsidR="002E39C9"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Působení zemědělství na životní prostředí</w:t>
              </w:r>
            </w:hyperlink>
          </w:p>
          <w:p w14:paraId="72406ED7" w14:textId="42BB6BD7" w:rsidR="002E39C9" w:rsidRPr="002E39C9" w:rsidRDefault="002E39C9" w:rsidP="00686AFE">
            <w:pP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 xml:space="preserve"> Video 4: </w:t>
            </w:r>
            <w:hyperlink r:id="rId10" w:history="1">
              <w:r w:rsidRPr="002E39C9">
                <w:rPr>
                  <w:rStyle w:val="Hypertextovodkaz"/>
                  <w:rFonts w:ascii="Times New Roman" w:eastAsia="Calibri" w:hAnsi="Times New Roman" w:cs="Times New Roman"/>
                  <w:b/>
                  <w:lang w:val="cs-CZ"/>
                </w:rPr>
                <w:t>Lze vrátit zábor půdy?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E932F4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54966E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F23726" w:rsidRPr="003A7B0E" w14:paraId="1EB64A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7B19A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F55F47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4E3DC" w14:textId="77777777" w:rsidR="00F23726" w:rsidRPr="003A7B0E" w:rsidRDefault="00F2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F23726" w:rsidRPr="003A7B0E" w14:paraId="4A3C26E8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850E18" w14:textId="0046C7A4" w:rsidR="00D63696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Ke každému z videí se váže jedno tvrzení, které v pořadu zazní.</w:t>
            </w:r>
          </w:p>
          <w:p w14:paraId="36659846" w14:textId="77777777" w:rsidR="00D63696" w:rsidRPr="008B4C61" w:rsidRDefault="00D63696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111C3AA2" w14:textId="77777777" w:rsidR="00F56EC2" w:rsidRPr="00F56EC2" w:rsidRDefault="00F56EC2" w:rsidP="00F56EC2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</w:pPr>
            <w:r w:rsidRPr="00F56EC2"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  <w:t>Rozdělte třídu na skupiny, přičemž každá z nich zhlédne jedno z videí. Nezáleží na tom, zda využijete všechna čtyři videa, lze využít i pouze některá z nich. Při sledování zadaného videa žáci hledají pro příslušné tvrzení argumenty. Zapíší si je, ať už s nimi souhlasí, či nikoliv.</w:t>
            </w:r>
          </w:p>
          <w:p w14:paraId="45E4C63A" w14:textId="77777777" w:rsidR="00F56EC2" w:rsidRPr="00F56EC2" w:rsidRDefault="00F56EC2" w:rsidP="00F56EC2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</w:pPr>
            <w:r w:rsidRPr="00F56EC2"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  <w:t>Po zhlédnutí videa se žáci rozhodnou, zda s tvrzením souhlasí, nebo nesouhlasí. Dejte pokyn, aby se připravili svůj souhlas či nesouhlas zdůvodnit.</w:t>
            </w:r>
          </w:p>
          <w:p w14:paraId="49969685" w14:textId="77777777" w:rsidR="00F56EC2" w:rsidRPr="00F56EC2" w:rsidRDefault="00F56EC2" w:rsidP="00F56EC2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</w:pPr>
            <w:r w:rsidRPr="00F56EC2"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  <w:t>Své zdůvodnění žáci následně sepíší formou volného psaní. Vyučující stanoví časový limit (např. 3 minuty), během kterého budou žáci nepřetržitě psát. Zdůrazněte, že se při volném psaní nebudou vracet ani opravovat. Pokud žáky nic nenapadá, zapisují pomocné věty („jak bych mohl pokračovat?“, „Co dál…?“).</w:t>
            </w:r>
          </w:p>
          <w:p w14:paraId="5F42FE07" w14:textId="2946BD7D" w:rsidR="00F56EC2" w:rsidRPr="00F56EC2" w:rsidRDefault="00F56EC2" w:rsidP="00F56EC2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</w:pPr>
            <w:r w:rsidRPr="00F56EC2"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  <w:t>Rozdělte třídu do nových skupin tak, aby v nich byla alespoň jedním žákem zastoupena každá z předešlých skupin. Žáci v nich zdůvodní svůj názor na tvrzení, které se váže k videu, jež viděli. Následně může proběhnout diskuze v rámci celé třídy.</w:t>
            </w:r>
          </w:p>
          <w:p w14:paraId="19E01D5C" w14:textId="697B5E6F" w:rsidR="00F56EC2" w:rsidRPr="00F56EC2" w:rsidRDefault="00F56EC2" w:rsidP="00F56EC2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</w:pPr>
            <w:r w:rsidRPr="00F56EC2">
              <w:rPr>
                <w:rFonts w:ascii="Times New Roman" w:eastAsia="Calibri" w:hAnsi="Times New Roman" w:cs="Times New Roman"/>
                <w:b/>
                <w:bCs/>
                <w:color w:val="0070C0"/>
                <w:lang w:val="cs-CZ"/>
              </w:rPr>
              <w:t>Navazující aktivitou může být tvorba ankety na témata vážící se ke zhlédnutým videím. Před tvorbou ankety doporučujeme nastudovat například vhodné instruktážní video pro tvorbu anket/dotazníků. Respondenty ankety mohou být žáci jiných tříd nebo členové rodin. Výsledky prezentujte na školním webu nebo formou natočeného videa.</w:t>
            </w:r>
          </w:p>
          <w:p w14:paraId="0132D3FD" w14:textId="77777777" w:rsidR="00F23726" w:rsidRDefault="00F23726" w:rsidP="008B4C61">
            <w:pPr>
              <w:ind w:left="360"/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3772EEEC" w14:textId="15B75B82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Tvrzení k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 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videu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 1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4F449AB1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„Když postavíme více přehrad, vyschlé krajině tím příliš nepomůžeme.“</w:t>
            </w:r>
          </w:p>
          <w:p w14:paraId="15EF52AB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19431FD9" w14:textId="724E89CF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Tvrzení k videu 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2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3F298460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„Kdybychom hospodařili po dobu 30 uplynulých let s uhlím, které jsme měli, s péčí dobrého hospodáře, byli bychom na dalších 30 let lépe připraveni.“</w:t>
            </w:r>
          </w:p>
          <w:p w14:paraId="36C827B9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37A8BDAC" w14:textId="540520F0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Tvrzení k videu 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3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5F8144AD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„Čím větší podíl intenzivního zemědělství, tím větší souhrn problémů na tom území dokážeme najít.“</w:t>
            </w:r>
          </w:p>
          <w:p w14:paraId="7D348ED7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6458C0D2" w14:textId="5AB833C0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 xml:space="preserve">Tvrzení k videu </w:t>
            </w:r>
            <w:r>
              <w:rPr>
                <w:rFonts w:ascii="Times New Roman" w:eastAsia="Calibri" w:hAnsi="Times New Roman" w:cs="Times New Roman"/>
                <w:b/>
                <w:bCs/>
                <w:lang w:val="cs-CZ"/>
              </w:rPr>
              <w:t>4</w:t>
            </w:r>
            <w:r w:rsidRPr="008B4C61">
              <w:rPr>
                <w:rFonts w:ascii="Times New Roman" w:eastAsia="Calibri" w:hAnsi="Times New Roman" w:cs="Times New Roman"/>
                <w:b/>
                <w:bCs/>
                <w:lang w:val="cs-CZ"/>
              </w:rPr>
              <w:t>:</w:t>
            </w:r>
          </w:p>
          <w:p w14:paraId="3BEA15BA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</w:pPr>
            <w:r w:rsidRPr="008B4C61">
              <w:rPr>
                <w:rFonts w:ascii="Times New Roman" w:eastAsia="Calibri" w:hAnsi="Times New Roman" w:cs="Times New Roman"/>
                <w:b/>
                <w:bCs/>
                <w:i/>
                <w:iCs/>
                <w:lang w:val="cs-CZ"/>
              </w:rPr>
              <w:t>„Mladí lidé se jednou připojí k hnutí 100 předmětů spočívající v tom, že máte jenom 100 věcí. To znamená, že začne padat celková spotřeba. A haly začnou být zbytečné.“</w:t>
            </w:r>
          </w:p>
          <w:p w14:paraId="1E504774" w14:textId="77777777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  <w:p w14:paraId="5248D00E" w14:textId="70B8EC13" w:rsidR="008B4C61" w:rsidRPr="008B4C61" w:rsidRDefault="008B4C61" w:rsidP="008B4C61">
            <w:pPr>
              <w:rPr>
                <w:rFonts w:ascii="Times New Roman" w:eastAsia="Calibri" w:hAnsi="Times New Roman" w:cs="Times New Roman"/>
                <w:b/>
                <w:b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6280E7" w14:textId="77777777" w:rsidR="00F23726" w:rsidRPr="003A7B0E" w:rsidRDefault="00F23726">
            <w:pPr>
              <w:rPr>
                <w:rFonts w:ascii="Times New Roman" w:eastAsia="Calibri" w:hAnsi="Times New Roman" w:cs="Times New Roman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F7F343" w14:textId="77777777" w:rsidR="00F23726" w:rsidRPr="003A7B0E" w:rsidRDefault="00F2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03570E37" w14:textId="77777777" w:rsidR="00F23726" w:rsidRPr="003A7B0E" w:rsidRDefault="00F23726">
      <w:pPr>
        <w:rPr>
          <w:rFonts w:ascii="Times New Roman" w:eastAsia="Calibri" w:hAnsi="Times New Roman" w:cs="Times New Roman"/>
          <w:lang w:val="cs-CZ"/>
        </w:rPr>
      </w:pPr>
    </w:p>
    <w:p w14:paraId="7B4FD4FE" w14:textId="77777777" w:rsidR="003A7B0E" w:rsidRPr="003A7B0E" w:rsidRDefault="003A7B0E" w:rsidP="003A7B0E">
      <w:pP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</w:pPr>
      <w:r w:rsidRPr="003A7B0E">
        <w:rPr>
          <w:rFonts w:ascii="Times New Roman" w:eastAsia="Times New Roman" w:hAnsi="Times New Roman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E7C9B38" wp14:editId="0D5BAC2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 Autor: Jan Vavřín</w:t>
      </w:r>
    </w:p>
    <w:p w14:paraId="40AB1620" w14:textId="77777777" w:rsidR="003A7B0E" w:rsidRPr="003A7B0E" w:rsidRDefault="003A7B0E" w:rsidP="003A7B0E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 [CC BY-NC 4.0]. Licenční podmínky navštivte na adrese [https://creativecommons.org/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Pr="003A7B0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=cs]. </w:t>
      </w:r>
    </w:p>
    <w:p w14:paraId="3DC8F314" w14:textId="77777777" w:rsidR="00F23726" w:rsidRPr="003A7B0E" w:rsidRDefault="00F23726">
      <w:pPr>
        <w:rPr>
          <w:rFonts w:ascii="Times New Roman" w:eastAsia="Calibri" w:hAnsi="Times New Roman" w:cs="Times New Roman"/>
          <w:lang w:val="cs-CZ"/>
        </w:rPr>
      </w:pPr>
    </w:p>
    <w:sectPr w:rsidR="00F23726" w:rsidRPr="003A7B0E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689F" w14:textId="77777777" w:rsidR="00517BAC" w:rsidRDefault="00517BAC">
      <w:r>
        <w:separator/>
      </w:r>
    </w:p>
  </w:endnote>
  <w:endnote w:type="continuationSeparator" w:id="0">
    <w:p w14:paraId="14A137F3" w14:textId="77777777" w:rsidR="00517BAC" w:rsidRDefault="0051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76C2" w14:textId="77777777" w:rsidR="00517BAC" w:rsidRDefault="00517BAC">
      <w:r>
        <w:separator/>
      </w:r>
    </w:p>
  </w:footnote>
  <w:footnote w:type="continuationSeparator" w:id="0">
    <w:p w14:paraId="0E838BFB" w14:textId="77777777" w:rsidR="00517BAC" w:rsidRDefault="0051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F7F" w14:textId="77777777" w:rsidR="00F23726" w:rsidRDefault="00042AE2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7E29498" wp14:editId="2A6B61F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F23726" w14:paraId="6762A3C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14D727" w14:textId="32157BCE" w:rsidR="00F23726" w:rsidRDefault="002E39C9">
          <w:pPr>
            <w:rPr>
              <w:b/>
            </w:rPr>
          </w:pPr>
          <w:proofErr w:type="spellStart"/>
          <w:r>
            <w:rPr>
              <w:b/>
            </w:rPr>
            <w:t>Kdo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zaplatí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účet</w:t>
          </w:r>
          <w:proofErr w:type="spellEnd"/>
          <w:r>
            <w:rPr>
              <w:b/>
            </w:rPr>
            <w:t>?</w:t>
          </w:r>
        </w:p>
        <w:p w14:paraId="6A8EDFF6" w14:textId="77777777" w:rsidR="00F23726" w:rsidRDefault="00042AE2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32D6AF" w14:textId="77777777" w:rsidR="00F23726" w:rsidRDefault="00042AE2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E320FF0" w14:textId="77777777" w:rsidR="00F23726" w:rsidRDefault="00042AE2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49AE76C" wp14:editId="75AD032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95E1495" wp14:editId="79485AE3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0EF8"/>
    <w:multiLevelType w:val="hybridMultilevel"/>
    <w:tmpl w:val="C82CC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2E59"/>
    <w:multiLevelType w:val="hybridMultilevel"/>
    <w:tmpl w:val="B192D76A"/>
    <w:lvl w:ilvl="0" w:tplc="353EE8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0B1"/>
    <w:multiLevelType w:val="hybridMultilevel"/>
    <w:tmpl w:val="EFF4E2C0"/>
    <w:lvl w:ilvl="0" w:tplc="0B5AC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29F5"/>
    <w:multiLevelType w:val="hybridMultilevel"/>
    <w:tmpl w:val="4B2E88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F4B7B"/>
    <w:multiLevelType w:val="hybridMultilevel"/>
    <w:tmpl w:val="F208C1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26"/>
    <w:rsid w:val="00042AE2"/>
    <w:rsid w:val="002E39C9"/>
    <w:rsid w:val="003A7B0E"/>
    <w:rsid w:val="00517BAC"/>
    <w:rsid w:val="00686AFE"/>
    <w:rsid w:val="008B4C61"/>
    <w:rsid w:val="008E6C0A"/>
    <w:rsid w:val="00D63696"/>
    <w:rsid w:val="00F23726"/>
    <w:rsid w:val="00F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BA6B"/>
  <w15:docId w15:val="{D7998632-B301-4F5B-9021-49DC853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86A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6A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AFE"/>
  </w:style>
  <w:style w:type="paragraph" w:styleId="Zpat">
    <w:name w:val="footer"/>
    <w:basedOn w:val="Normln"/>
    <w:link w:val="ZpatChar"/>
    <w:uiPriority w:val="99"/>
    <w:unhideWhenUsed/>
    <w:rsid w:val="00686A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AFE"/>
  </w:style>
  <w:style w:type="paragraph" w:styleId="Odstavecseseznamem">
    <w:name w:val="List Paragraph"/>
    <w:basedOn w:val="Normln"/>
    <w:uiPriority w:val="34"/>
    <w:qFormat/>
    <w:rsid w:val="00686AF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E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384-hospodareni-s-elektrinou-v-ces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317-voda-mizi-z-krajin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386-lze-vratit-zabor-p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9385-pusobeni-zemedelstvi-na-zivotni-prostred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2</cp:revision>
  <dcterms:created xsi:type="dcterms:W3CDTF">2021-04-21T08:09:00Z</dcterms:created>
  <dcterms:modified xsi:type="dcterms:W3CDTF">2021-04-21T08:09:00Z</dcterms:modified>
</cp:coreProperties>
</file>