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64.0" w:type="dxa"/>
        <w:jc w:val="left"/>
        <w:tblInd w:w="-98.0" w:type="dxa"/>
        <w:tblLayout w:type="fixed"/>
        <w:tblLook w:val="0000"/>
      </w:tblPr>
      <w:tblGrid>
        <w:gridCol w:w="10864"/>
        <w:tblGridChange w:id="0">
          <w:tblGrid>
            <w:gridCol w:w="10864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3">
            <w:pPr>
              <w:rPr>
                <w:b w:val="1"/>
                <w:color w:val="0070c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Video: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numPr>
                <w:ilvl w:val="0"/>
                <w:numId w:val="4"/>
              </w:numPr>
              <w:ind w:left="720" w:hanging="360"/>
              <w:rPr/>
            </w:pPr>
            <w:hyperlink r:id="rId1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Baťův kanál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numPr>
                <w:ilvl w:val="0"/>
                <w:numId w:val="4"/>
              </w:numPr>
              <w:ind w:left="720" w:hanging="360"/>
              <w:rPr/>
            </w:pPr>
            <w:hyperlink r:id="rId1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Baťův Zlín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4"/>
              </w:numPr>
              <w:ind w:left="720" w:hanging="360"/>
              <w:rPr/>
            </w:pPr>
            <w:hyperlink r:id="rId2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Poutní místa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4"/>
              </w:numPr>
              <w:ind w:left="720" w:hanging="360"/>
              <w:rPr/>
            </w:pPr>
            <w:hyperlink r:id="rId2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Zlínský kraj a film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8">
            <w:pPr>
              <w:rPr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9">
            <w:pPr>
              <w:spacing w:after="120" w:lineRule="auto"/>
              <w:rPr>
                <w:rFonts w:ascii="Arial" w:cs="Arial" w:eastAsia="Arial" w:hAnsi="Arial"/>
                <w:i w:val="1"/>
                <w:color w:val="94363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43634"/>
                <w:rtl w:val="0"/>
              </w:rPr>
              <w:t xml:space="preserve">Pracovní list je určen žákům 2. stupně ZŠ a SŠ a lze jej využít v prezenční i online výuce.</w:t>
            </w:r>
          </w:p>
          <w:p w:rsidR="00000000" w:rsidDel="00000000" w:rsidP="00000000" w:rsidRDefault="00000000" w:rsidRPr="00000000" w14:paraId="0000000A">
            <w:pPr>
              <w:shd w:fill="ffffff" w:val="clear"/>
              <w:spacing w:after="120" w:lineRule="auto"/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u w:val="single"/>
                <w:rtl w:val="0"/>
              </w:rPr>
              <w:t xml:space="preserve">Aktivity před sledováním videa:</w:t>
            </w:r>
            <w:r w:rsidDel="00000000" w:rsidR="00000000" w:rsidRPr="00000000">
              <w:pict>
                <v:shape id="Obrázek 15" style="position:absolute;margin-left:226.15pt;margin-top:1.8pt;width:308.05pt;height:178.35pt;z-index:2;visibility:visible;mso-position-horizontal:absolute;mso-position-vertical:absolute;mso-position-horizontal-relative:margin;mso-position-vertical-relative:text;" o:spid="_x0000_s2053" stroked="t" strokecolor="#7f7f7f" type="#_x0000_t75">
                  <v:imagedata cropleft="1749f" croptop="1613f" r:id="rId1" o:title=""/>
                </v:shape>
              </w:pict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i w:val="1"/>
                <w:color w:val="94363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43634"/>
                <w:rtl w:val="0"/>
              </w:rPr>
              <w:t xml:space="preserve">Aktivity před sledováním videa mohou</w:t>
            </w:r>
          </w:p>
          <w:p w:rsidR="00000000" w:rsidDel="00000000" w:rsidP="00000000" w:rsidRDefault="00000000" w:rsidRPr="00000000" w14:paraId="0000000C">
            <w:pPr>
              <w:spacing w:after="120" w:lineRule="auto"/>
              <w:rPr>
                <w:rFonts w:ascii="Arial" w:cs="Arial" w:eastAsia="Arial" w:hAnsi="Arial"/>
                <w:i w:val="1"/>
                <w:color w:val="94363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43634"/>
                <w:rtl w:val="0"/>
              </w:rPr>
              <w:t xml:space="preserve">pomoci k pochopení specifik daného kraje.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66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Aktivita 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4f6228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Zlínský kraj je jedním ze</w:t>
              <w:br w:type="textWrapping"/>
              <w:t xml:space="preserve">14 vyšších územně správních celků v České </w:t>
              <w:br w:type="textWrapping"/>
              <w:t xml:space="preserve">republice (ČR).</w:t>
            </w:r>
          </w:p>
          <w:p w:rsidR="00000000" w:rsidDel="00000000" w:rsidP="00000000" w:rsidRDefault="00000000" w:rsidRPr="00000000" w14:paraId="0000000E">
            <w:pPr>
              <w:spacing w:after="120" w:lineRule="auto"/>
              <w:rPr>
                <w:rFonts w:ascii="Arial" w:cs="Arial" w:eastAsia="Arial" w:hAnsi="Arial"/>
                <w:i w:val="1"/>
                <w:color w:val="94363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43634"/>
                <w:rtl w:val="0"/>
              </w:rPr>
              <w:t xml:space="preserve">V úvodní aktivitě si žák zopakuje polohu </w:t>
              <w:br w:type="textWrapping"/>
              <w:t xml:space="preserve">Zlínského kraje i ostatních krajů ČR.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Doplňte do slepé mapy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České republiky: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názvy krajů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se kterými Zlínský kraj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sousedí.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Řešení: Žák vyznačí Jihomoravský, </w:t>
              <w:br w:type="textWrapping"/>
              <w:t xml:space="preserve">Olomoucký a Moravskoslezský kraj.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200ff"/>
                <w:sz w:val="21"/>
                <w:szCs w:val="21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název státu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se kterým Zlínský kraj sousedí.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Řešení: Žák vyznačí Slovenskou republiku (Slovensko).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200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/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200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Учень відзнач</w:t>
            </w:r>
            <w:r w:rsidDel="00000000" w:rsidR="00000000" w:rsidRPr="00000000">
              <w:rPr>
                <w:rFonts w:ascii="Arial" w:cs="Arial" w:eastAsia="Arial" w:hAnsi="Arial"/>
                <w:color w:val="0200ff"/>
                <w:rtl w:val="0"/>
              </w:rPr>
              <w:t xml:space="preserve">ить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200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Словаччин</w:t>
            </w:r>
            <w:r w:rsidDel="00000000" w:rsidR="00000000" w:rsidRPr="00000000">
              <w:rPr>
                <w:rFonts w:ascii="Arial" w:cs="Arial" w:eastAsia="Arial" w:hAnsi="Arial"/>
                <w:color w:val="0200ff"/>
                <w:rtl w:val="0"/>
              </w:rPr>
              <w:t xml:space="preserve">у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200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66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Aktivita B: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Na základě informací v tabulce </w:t>
              <w:br w:type="textWrapping"/>
              <w:t xml:space="preserve">doplňte do textu chybějící informace.</w:t>
            </w:r>
            <w:r w:rsidDel="00000000" w:rsidR="00000000" w:rsidRPr="00000000">
              <w:pict>
                <v:shape id="Obrázek 5" style="position:absolute;margin-left:264.65pt;margin-top:21.45pt;width:269.55pt;height:267.05pt;z-index:1;visibility:visible;mso-position-horizontal:absolute;mso-position-vertical:absolute;mso-position-horizontal-relative:margin;mso-position-vertical-relative:text;" o:spid="_x0000_s2055" stroked="t" strokecolor="#7f7f7f" type="#_x0000_t75">
                  <v:stroke joinstyle="round"/>
                  <v:imagedata cropbottom="3285f" cropleft="2245f" cropright="29826f" croptop="4981f" r:id="rId2" o:title=""/>
                </v:shape>
              </w:pic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3454400</wp:posOffset>
                      </wp:positionH>
                      <wp:positionV relativeFrom="paragraph">
                        <wp:posOffset>0</wp:posOffset>
                      </wp:positionV>
                      <wp:extent cx="3448050" cy="280034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3634675" y="3652683"/>
                                <a:ext cx="3422650" cy="254634"/>
                              </a:xfrm>
                              <a:custGeom>
                                <a:rect b="b" l="l" r="r" t="t"/>
                                <a:pathLst>
                                  <a:path extrusionOk="0" h="254634" w="3422650">
                                    <a:moveTo>
                                      <a:pt x="0" y="0"/>
                                    </a:moveTo>
                                    <a:lnTo>
                                      <a:pt x="0" y="254634"/>
                                    </a:lnTo>
                                    <a:lnTo>
                                      <a:pt x="3422650" y="254634"/>
                                    </a:lnTo>
                                    <a:lnTo>
                                      <a:pt x="34226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25400">
                                <a:solidFill>
                                  <a:srgbClr val="4F81BD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ource Sans Pro" w:cs="Source Sans Pro" w:eastAsia="Source Sans Pro" w:hAnsi="Source Sans Pr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18"/>
                                      <w:vertAlign w:val="baseline"/>
                                    </w:rPr>
                                    <w:t xml:space="preserve">Tab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18"/>
                                      <w:vertAlign w:val="baseline"/>
                                    </w:rPr>
                                    <w:t xml:space="preserve">ulka: Základní rozdělení věřících podle krajů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20"/>
                                      <w:vertAlign w:val="baseline"/>
                                    </w:rPr>
                                    <w:t xml:space="preserve"> (2011)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20"/>
                                      <w:vertAlign w:val="superscript"/>
                                    </w:rPr>
                                    <w:t xml:space="preserve">3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3454400</wp:posOffset>
                      </wp:positionH>
                      <wp:positionV relativeFrom="paragraph">
                        <wp:posOffset>0</wp:posOffset>
                      </wp:positionV>
                      <wp:extent cx="3448050" cy="280034"/>
                      <wp:effectExtent b="0" l="0" r="0" t="0"/>
                      <wp:wrapNone/>
                      <wp:docPr id="1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48050" cy="28003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5">
            <w:pPr>
              <w:spacing w:after="120" w:lineRule="auto"/>
              <w:rPr>
                <w:rFonts w:ascii="Arial" w:cs="Arial" w:eastAsia="Arial" w:hAnsi="Arial"/>
                <w:i w:val="1"/>
                <w:color w:val="94363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43634"/>
                <w:rtl w:val="0"/>
              </w:rPr>
              <w:t xml:space="preserve">V aktivitě B žáci pracují s informacemi ČSÚ k roku </w:t>
              <w:br w:type="textWrapping"/>
              <w:t xml:space="preserve">2011. (V době zveřejnění PL nebyly informace </w:t>
              <w:br w:type="textWrapping"/>
              <w:t xml:space="preserve">k danému tématu za rok 2021 dostupné.)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375"/>
              </w:tabs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200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„V pořadí krajů, které mají relativně nejvyšší počty </w:t>
              <w:br w:type="textWrapping"/>
              <w:t xml:space="preserve">věřících v ČR, nedošlo ve srovnání s výsledky </w:t>
              <w:br w:type="textWrapping"/>
              <w:t xml:space="preserve">předcházejícího sčítání k žádné změně. Na prvním </w:t>
              <w:br w:type="textWrapping"/>
              <w:t xml:space="preserve">místě byl v roce 2011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(3)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Zlínský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200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</w:t>
            </w: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200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/ Злинський край__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375"/>
              </w:tabs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kraj, kde věřící v úhrnu představovali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(4)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37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% </w:t>
              <w:br w:type="textWrapping"/>
              <w:t xml:space="preserve">populace. (Tento kraj měl mezi všemi kraji největší</w:t>
              <w:br w:type="textWrapping"/>
              <w:t xml:space="preserve">podíl obyvatel, kteří se přihlásili k římskokatolické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375"/>
              </w:tabs>
              <w:spacing w:after="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církvi.) Naopak nejnižší podíl věřících v ČR byl při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375"/>
              </w:tabs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ff000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sčítání v roce 2011 zjištěn v 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(5)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Ústeckém kraji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5375"/>
              </w:tabs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rtl w:val="0"/>
              </w:rPr>
              <w:t xml:space="preserve">/ Устецьким краї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kraji.“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66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6600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66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Aktivita C:</w:t>
            </w:r>
          </w:p>
          <w:p w:rsidR="00000000" w:rsidDel="00000000" w:rsidP="00000000" w:rsidRDefault="00000000" w:rsidRPr="00000000" w14:paraId="0000001D">
            <w:pPr>
              <w:spacing w:after="120" w:lineRule="auto"/>
              <w:rPr>
                <w:rFonts w:ascii="Arial" w:cs="Arial" w:eastAsia="Arial" w:hAnsi="Arial"/>
                <w:i w:val="1"/>
                <w:color w:val="94363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43634"/>
                <w:rtl w:val="0"/>
              </w:rPr>
              <w:t xml:space="preserve">V aktivitě C žáci porovnávají informace v kartogramech s informacemi ČSÚ v tabulce. S ohledem na časové možnosti učitele a věk žáků lze úlohy 6 a 7 vynechat.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6) Na základě informací v tabulce rozhodněte, který kartogram (A, nebo B) je správný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superscript"/>
                <w:rtl w:val="0"/>
              </w:rPr>
              <w:t xml:space="preserve">4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Řešení: ___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highlight w:val="white"/>
                <w:u w:val="single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4f6228"/>
                <w:sz w:val="21"/>
                <w:szCs w:val="21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4f6228"/>
                <w:sz w:val="21"/>
                <w:szCs w:val="21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pict>
                <v:shape id="Obrázek 26" style="position:absolute;margin-left:152.35pt;margin-top:3.95pt;width:183.9pt;height:113.85pt;z-index:5;visibility:visible;mso-position-horizontal:absolute;mso-position-vertical:absolute;mso-position-horizontal-relative:margin;mso-position-vertical-relative:text;" o:spid="_x0000_s2056" type="#_x0000_t75">
                  <v:imagedata r:id="rId3" o:title=""/>
                </v:shape>
              </w:pict>
            </w:r>
            <w:r w:rsidDel="00000000" w:rsidR="00000000" w:rsidRPr="00000000">
              <w:pict>
                <v:shape id="Obrázek 25" style="position:absolute;margin-left:350.4pt;margin-top:-0.55pt;width:184.3pt;height:119.3pt;z-index:6;visibility:visible;mso-position-horizontal:absolute;mso-position-vertical:absolute;mso-position-horizontal-relative:margin;mso-position-vertical-relative:text;" o:spid="_x0000_s2057" type="#_x0000_t75">
                  <v:imagedata r:id="rId4" o:title=""/>
                </v:shape>
              </w:pic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3721100</wp:posOffset>
                      </wp:positionH>
                      <wp:positionV relativeFrom="paragraph">
                        <wp:posOffset>88900</wp:posOffset>
                      </wp:positionV>
                      <wp:extent cx="365125" cy="290830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176138" y="3647285"/>
                                <a:ext cx="339725" cy="265430"/>
                              </a:xfrm>
                              <a:custGeom>
                                <a:rect b="b" l="l" r="r" t="t"/>
                                <a:pathLst>
                                  <a:path extrusionOk="0" h="265430" w="339725">
                                    <a:moveTo>
                                      <a:pt x="0" y="0"/>
                                    </a:moveTo>
                                    <a:lnTo>
                                      <a:pt x="0" y="265430"/>
                                    </a:lnTo>
                                    <a:lnTo>
                                      <a:pt x="339725" y="265430"/>
                                    </a:lnTo>
                                    <a:lnTo>
                                      <a:pt x="339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254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ource Sans Pro" w:cs="Source Sans Pro" w:eastAsia="Source Sans Pro" w:hAnsi="Source Sans Pr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A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3721100</wp:posOffset>
                      </wp:positionH>
                      <wp:positionV relativeFrom="paragraph">
                        <wp:posOffset>88900</wp:posOffset>
                      </wp:positionV>
                      <wp:extent cx="365125" cy="290830"/>
                      <wp:effectExtent b="0" l="0" r="0" t="0"/>
                      <wp:wrapNone/>
                      <wp:docPr id="5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5125" cy="2908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6311900</wp:posOffset>
                      </wp:positionH>
                      <wp:positionV relativeFrom="paragraph">
                        <wp:posOffset>88900</wp:posOffset>
                      </wp:positionV>
                      <wp:extent cx="333375" cy="290830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192013" y="3647285"/>
                                <a:ext cx="307975" cy="265430"/>
                              </a:xfrm>
                              <a:custGeom>
                                <a:rect b="b" l="l" r="r" t="t"/>
                                <a:pathLst>
                                  <a:path extrusionOk="0" h="265430" w="307975">
                                    <a:moveTo>
                                      <a:pt x="0" y="0"/>
                                    </a:moveTo>
                                    <a:lnTo>
                                      <a:pt x="0" y="265430"/>
                                    </a:lnTo>
                                    <a:lnTo>
                                      <a:pt x="307975" y="265430"/>
                                    </a:lnTo>
                                    <a:lnTo>
                                      <a:pt x="3079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254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ource Sans Pro" w:cs="Source Sans Pro" w:eastAsia="Source Sans Pro" w:hAnsi="Source Sans Pr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B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6311900</wp:posOffset>
                      </wp:positionH>
                      <wp:positionV relativeFrom="paragraph">
                        <wp:posOffset>88900</wp:posOffset>
                      </wp:positionV>
                      <wp:extent cx="333375" cy="290830"/>
                      <wp:effectExtent b="0" l="0" r="0" t="0"/>
                      <wp:wrapNone/>
                      <wp:docPr id="2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375" cy="2908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4f6228"/>
                <w:sz w:val="21"/>
                <w:szCs w:val="21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pict>
                <v:shape id="Obrázek 14" style="position:absolute;margin-left:11.75pt;margin-top:-0.55pt;width:135.6pt;height:82.55pt;z-index:4;visibility:visible;mso-position-horizontal:absolute;mso-position-vertical:absolute;mso-position-horizontal-relative:margin;mso-position-vertical-relative:text;" o:spid="_x0000_s2060" type="#_x0000_t75">
                  <v:imagedata cropleft="2260f" cropright="2260f" r:id="rId5" o:title=""/>
                </v:shape>
              </w:pic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4f6228"/>
                <w:sz w:val="21"/>
                <w:szCs w:val="21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7)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Na základě informací v tabulce rozhodněte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zda je následující tvrzení pravdivé (P), nebo 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nepravdivé (N).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Odpověď zakroužkujte.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6413500</wp:posOffset>
                      </wp:positionH>
                      <wp:positionV relativeFrom="paragraph">
                        <wp:posOffset>139700</wp:posOffset>
                      </wp:positionV>
                      <wp:extent cx="288925" cy="278765"/>
                      <wp:effectExtent b="0" l="0" r="0" t="0"/>
                      <wp:wrapNone/>
                      <wp:docPr id="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5207888" y="3646968"/>
                                <a:ext cx="276225" cy="266065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12700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6413500</wp:posOffset>
                      </wp:positionH>
                      <wp:positionV relativeFrom="paragraph">
                        <wp:posOffset>139700</wp:posOffset>
                      </wp:positionV>
                      <wp:extent cx="288925" cy="278765"/>
                      <wp:effectExtent b="0" l="0" r="0" t="0"/>
                      <wp:wrapNone/>
                      <wp:docPr id="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8925" cy="2787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„Podíl věřících celkem z úhrnného počtu obyvatel krajů ČR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vzrůstá postupem z východu na západ ČR.“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P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       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hd w:fill="ffffff" w:val="clear"/>
              <w:spacing w:after="120" w:lineRule="auto"/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u w:val="single"/>
                <w:rtl w:val="0"/>
              </w:rPr>
              <w:t xml:space="preserve">Práce s videem</w:t>
            </w:r>
          </w:p>
          <w:p w:rsidR="00000000" w:rsidDel="00000000" w:rsidP="00000000" w:rsidRDefault="00000000" w:rsidRPr="00000000" w14:paraId="00000032">
            <w:pPr>
              <w:spacing w:after="120" w:line="264" w:lineRule="auto"/>
              <w:rPr>
                <w:rFonts w:ascii="Arial" w:cs="Arial" w:eastAsia="Arial" w:hAnsi="Arial"/>
                <w:i w:val="1"/>
                <w:color w:val="94363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43634"/>
                <w:rtl w:val="0"/>
              </w:rPr>
              <w:t xml:space="preserve">Před spuštěním videa poskytněte žákům čas na přečtení úkolů spojených se sledováním videa.</w:t>
            </w:r>
          </w:p>
          <w:p w:rsidR="00000000" w:rsidDel="00000000" w:rsidP="00000000" w:rsidRDefault="00000000" w:rsidRPr="00000000" w14:paraId="00000033">
            <w:pPr>
              <w:spacing w:after="120" w:line="264" w:lineRule="auto"/>
              <w:rPr>
                <w:rFonts w:ascii="Arial" w:cs="Arial" w:eastAsia="Arial" w:hAnsi="Arial"/>
                <w:color w:val="000000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Mezi nejvýznamnější poutní místa ve Zlínském kraji patří Velehrad.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highlight w:val="white"/>
                <w:rtl w:val="0"/>
              </w:rPr>
              <w:t xml:space="preserve">Národní pouť na Velehrad je:</w:t>
              <w:br w:type="textWrapping"/>
            </w:r>
            <w:r w:rsidDel="00000000" w:rsidR="00000000" w:rsidRPr="00000000">
              <w:rPr>
                <w:rFonts w:ascii="Arial" w:cs="Arial" w:eastAsia="Arial" w:hAnsi="Arial"/>
                <w:color w:val="000000"/>
                <w:highlight w:val="white"/>
                <w:rtl w:val="0"/>
              </w:rPr>
              <w:t xml:space="preserve">(Správnou odpověď zaškrtněte.)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každoročním připomenutím návštěvy papeže sv. Jana Pavla II. na Velehradě.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každoroční oslavou vzniku samostatného československého státu.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077" w:right="0" w:hanging="35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každoroční oslavou sv. Cyrila a Metoděje. (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ff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správná odpověď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)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200ff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color w:val="0200ff"/>
                <w:highlight w:val="white"/>
                <w:rtl w:val="0"/>
              </w:rPr>
              <w:t xml:space="preserve">щорічним святкуванням св. Кирила і Мефодія.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284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Napište, co v roce 1985 věnoval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papež sv. Jan Pavel II. bazilice na Velehradě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zlatou (papežskou) růži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2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/ </w:t>
            </w:r>
            <w:r w:rsidDel="00000000" w:rsidR="00000000" w:rsidRPr="00000000">
              <w:rPr>
                <w:rFonts w:ascii="Arial" w:cs="Arial" w:eastAsia="Arial" w:hAnsi="Arial"/>
                <w:color w:val="0200ff"/>
                <w:u w:val="single"/>
                <w:rtl w:val="0"/>
              </w:rPr>
              <w:t xml:space="preserve">золоту троянду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120" w:line="264" w:lineRule="auto"/>
              <w:rPr>
                <w:rFonts w:ascii="Arial" w:cs="Arial" w:eastAsia="Arial" w:hAnsi="Arial"/>
                <w:i w:val="1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2060"/>
                <w:rtl w:val="0"/>
              </w:rPr>
              <w:t xml:space="preserve">Doplňující informace: Jde o vyznamenání Zlaté růže. Svatý Otec Jan Pavel II. tímto vyznamenáním ukazuje na výjimečný duchovní význam poutního místa. Zlatou růži vlastní kromě Velehradu dalších 6 bazilik světa. Druhá Zlatá růže na území ČR je v chrámovém pokladu katedrály sv. Víta v Praze. Byla posvěcena Řehořem XVI. v roce 1831 a dostala ji manželka císaře Ferdinanda V. Marie Anna, která ji věnovala katedrále.</w:t>
            </w:r>
            <w:r w:rsidDel="00000000" w:rsidR="00000000" w:rsidRPr="00000000">
              <w:rPr>
                <w:rFonts w:ascii="Arial" w:cs="Arial" w:eastAsia="Arial" w:hAnsi="Arial"/>
                <w:color w:val="002060"/>
                <w:vertAlign w:val="superscript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Otevřené brány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jsou společným projektem Zlínského kraje, měst, obcí a farností. Smyslem projektu je také zpřístupnění bohatého fondu památek církevní povahy v regionu.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6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 projektu se zapojil i kostel sv. Anny zmiňovaný ve videu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284" w:right="0" w:hanging="284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Napište název města, ve kterém se nachází kostel sv. Anny. ___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Holešov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200ff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/ Голешов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200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284" w:right="0" w:hanging="284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Přiřaďte k názvům A a B správné obrázky (1 a 2)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7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14" w:right="0" w:hanging="35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Bazilika Nanebevzetí Panny Marie a sv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. 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Cyrila a Metoděje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na Velehradě ______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highlight w:val="white"/>
                <w:u w:val="single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_______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14" w:right="0" w:hanging="357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Bazilika Nanebevzetí Panny Marie na Hostýně _______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2"/>
                <w:szCs w:val="22"/>
                <w:highlight w:val="white"/>
                <w:u w:val="single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white"/>
                <w:u w:val="none"/>
                <w:vertAlign w:val="baseline"/>
                <w:rtl w:val="0"/>
              </w:rPr>
              <w:t xml:space="preserve">_______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pict>
                <v:shape id="Obrázek 17" style="position:absolute;margin-left:223.0pt;margin-top:3.05pt;width:230.5pt;height:123.05pt;z-index:9;visibility:visible;mso-position-horizontal:absolute;mso-position-vertical:absolute;mso-position-horizontal-relative:margin;mso-position-vertical-relative:text;" o:spid="_x0000_s2063" stroked="t" strokecolor="#4f81bd" type="#_x0000_t75">
                  <v:imagedata r:id="rId6" o:title=""/>
                </v:shape>
              </w:pict>
            </w:r>
            <w:r w:rsidDel="00000000" w:rsidR="00000000" w:rsidRPr="00000000">
              <w:pict>
                <v:shape id="Obrázek 18" style="position:absolute;margin-left:22.65pt;margin-top:3.1pt;width:184.6pt;height:123.05pt;z-index:10;visibility:visible;mso-position-horizontal:absolute;mso-position-vertical:absolute;mso-position-horizontal-relative:margin;mso-position-vertical-relative:text;" alt="https://otevrenebrany.cz/wp-content/uploads/2017/03/SvatyHostyn.jpg" o:spid="_x0000_s2065" stroked="t" strokecolor="#4f81bd" type="#_x0000_t75">
                  <v:imagedata r:id="rId7" o:title=""/>
                </v:shape>
              </w:pic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25400</wp:posOffset>
                      </wp:positionV>
                      <wp:extent cx="312420" cy="312420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202490" y="3636490"/>
                                <a:ext cx="287020" cy="287020"/>
                              </a:xfrm>
                              <a:custGeom>
                                <a:rect b="b" l="l" r="r" t="t"/>
                                <a:pathLst>
                                  <a:path extrusionOk="0" h="287020" w="287020">
                                    <a:moveTo>
                                      <a:pt x="0" y="0"/>
                                    </a:moveTo>
                                    <a:lnTo>
                                      <a:pt x="0" y="287020"/>
                                    </a:lnTo>
                                    <a:lnTo>
                                      <a:pt x="287020" y="287020"/>
                                    </a:lnTo>
                                    <a:lnTo>
                                      <a:pt x="2870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25400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ource Sans Pro" w:cs="Source Sans Pro" w:eastAsia="Source Sans Pro" w:hAnsi="Source Sans Pr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1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25400</wp:posOffset>
                      </wp:positionV>
                      <wp:extent cx="312420" cy="312420"/>
                      <wp:effectExtent b="0" l="0" r="0" t="0"/>
                      <wp:wrapNone/>
                      <wp:docPr id="4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2420" cy="3124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2933700</wp:posOffset>
                      </wp:positionH>
                      <wp:positionV relativeFrom="paragraph">
                        <wp:posOffset>25400</wp:posOffset>
                      </wp:positionV>
                      <wp:extent cx="296545" cy="296545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202490" y="3636490"/>
                                <a:ext cx="287020" cy="287020"/>
                              </a:xfrm>
                              <a:custGeom>
                                <a:rect b="b" l="l" r="r" t="t"/>
                                <a:pathLst>
                                  <a:path extrusionOk="0" h="287020" w="287020">
                                    <a:moveTo>
                                      <a:pt x="0" y="0"/>
                                    </a:moveTo>
                                    <a:lnTo>
                                      <a:pt x="0" y="287020"/>
                                    </a:lnTo>
                                    <a:lnTo>
                                      <a:pt x="287020" y="287020"/>
                                    </a:lnTo>
                                    <a:lnTo>
                                      <a:pt x="2870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ource Sans Pro" w:cs="Source Sans Pro" w:eastAsia="Source Sans Pro" w:hAnsi="Source Sans Pr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2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2933700</wp:posOffset>
                      </wp:positionH>
                      <wp:positionV relativeFrom="paragraph">
                        <wp:posOffset>25400</wp:posOffset>
                      </wp:positionV>
                      <wp:extent cx="296545" cy="296545"/>
                      <wp:effectExtent b="0" l="0" r="0" t="0"/>
                      <wp:wrapNone/>
                      <wp:docPr id="3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6545" cy="2965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943634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943634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 zhlédnutí videa by bylo záhodno, aby si žáci našli na vhodné mapě místa, která byla prezentována ve videu. Mapu pak žáci využijí pro aktivitu A (Aktivity po zhlédnutí videa).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hd w:fill="ffffff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hd w:fill="ffffff" w:val="clear"/>
              <w:rPr>
                <w:rFonts w:ascii="Arial" w:cs="Arial" w:eastAsia="Arial" w:hAnsi="Arial"/>
                <w:i w:val="1"/>
                <w:color w:val="94363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43634"/>
                <w:rtl w:val="0"/>
              </w:rPr>
              <w:t xml:space="preserve">Námět na projekt: Žáci se seznámí se zastávkami na Cyrilometodějské stezce mezi Velehradem a Hostýnem. Ve skupinách či dvojicích pak zpracují vybrané zastávky. Výstupem může být představení místa/zastávky například formou prezentace či plakátu. Během „prezentace“ je vhodné kromě obsahové stránky sledovat i prezentační dovednosti žáků a následně jim poskytnout (učitel i spolužáci) pozitivní zpětnou vazbu. Mapku se zastávkami najdete například na:</w:t>
            </w:r>
          </w:p>
          <w:p w:rsidR="00000000" w:rsidDel="00000000" w:rsidP="00000000" w:rsidRDefault="00000000" w:rsidRPr="00000000" w14:paraId="0000004B">
            <w:pPr>
              <w:shd w:fill="ffffff" w:val="clear"/>
              <w:rPr>
                <w:rFonts w:ascii="Arial" w:cs="Arial" w:eastAsia="Arial" w:hAnsi="Arial"/>
                <w:color w:val="943634"/>
              </w:rPr>
            </w:pPr>
            <w:hyperlink r:id="rId28">
              <w:r w:rsidDel="00000000" w:rsidR="00000000" w:rsidRPr="00000000">
                <w:rPr>
                  <w:rFonts w:ascii="Arial" w:cs="Arial" w:eastAsia="Arial" w:hAnsi="Arial"/>
                  <w:color w:val="943634"/>
                  <w:u w:val="single"/>
                  <w:rtl w:val="0"/>
                </w:rPr>
                <w:t xml:space="preserve">http://old.maticevelehradska.cz/dokument/Poutni-cesta-Velehrad---Sv-Hostyn-106/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94363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C">
            <w:pPr>
              <w:shd w:fill="ffffff" w:val="clear"/>
              <w:spacing w:after="120" w:before="120" w:lineRule="auto"/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6600"/>
                <w:sz w:val="24"/>
                <w:szCs w:val="24"/>
                <w:u w:val="single"/>
                <w:rtl w:val="0"/>
              </w:rPr>
              <w:t xml:space="preserve">Aktivity po zhlédnutí videa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66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Aktivita A: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66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Najděte si v atlasu vhodnou mapu a do výškového profilu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  <w:rtl w:val="0"/>
              </w:rPr>
              <w:t xml:space="preserve">8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vyznačte: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190500</wp:posOffset>
                      </wp:positionV>
                      <wp:extent cx="3671570" cy="280034"/>
                      <wp:effectExtent b="0" l="0" r="0" t="0"/>
                      <wp:wrapNone/>
                      <wp:docPr id="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3522915" y="3652683"/>
                                <a:ext cx="3646170" cy="254634"/>
                              </a:xfrm>
                              <a:custGeom>
                                <a:rect b="b" l="l" r="r" t="t"/>
                                <a:pathLst>
                                  <a:path extrusionOk="0" h="254634" w="3646170">
                                    <a:moveTo>
                                      <a:pt x="0" y="0"/>
                                    </a:moveTo>
                                    <a:lnTo>
                                      <a:pt x="0" y="254634"/>
                                    </a:lnTo>
                                    <a:lnTo>
                                      <a:pt x="3646170" y="254634"/>
                                    </a:lnTo>
                                    <a:lnTo>
                                      <a:pt x="364617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25400">
                                <a:solidFill>
                                  <a:srgbClr val="4F81BD"/>
                                </a:solidFill>
                                <a:prstDash val="solid"/>
                                <a:miter lim="8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ource Sans Pro" w:cs="Source Sans Pro" w:eastAsia="Source Sans Pro" w:hAnsi="Source Sans Pr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18"/>
                                      <w:highlight w:val="white"/>
                                      <w:vertAlign w:val="baseline"/>
                                    </w:rPr>
                                    <w:t xml:space="preserve">Zobrazení 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18"/>
                                      <w:highlight w:val="white"/>
                                      <w:vertAlign w:val="baseline"/>
                                    </w:rPr>
                                    <w:t xml:space="preserve">výškového profilu 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18"/>
                                      <w:highlight w:val="white"/>
                                      <w:vertAlign w:val="baseline"/>
                                    </w:rPr>
                                    <w:t xml:space="preserve">části Cyrilometodějské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2060"/>
                                      <w:sz w:val="18"/>
                                      <w:highlight w:val="white"/>
                                      <w:vertAlign w:val="baseline"/>
                                    </w:rPr>
                                    <w:t xml:space="preserve"> 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2060"/>
                                      <w:sz w:val="18"/>
                                      <w:highlight w:val="white"/>
                                      <w:vertAlign w:val="baseline"/>
                                    </w:rPr>
                                    <w:t xml:space="preserve">stezky/trasy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190500</wp:posOffset>
                      </wp:positionV>
                      <wp:extent cx="3671570" cy="280034"/>
                      <wp:effectExtent b="0" l="0" r="0" t="0"/>
                      <wp:wrapNone/>
                      <wp:docPr id="7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71570" cy="28003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Kde se nachází</w:t>
              <w:br w:type="textWrapping"/>
              <w:t xml:space="preserve">Hostýnsko-vsetínská </w:t>
              <w:br w:type="textWrapping"/>
              <w:t xml:space="preserve">hornatina.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(Název napište</w:t>
            </w:r>
            <w:r w:rsidDel="00000000" w:rsidR="00000000" w:rsidRPr="00000000">
              <w:pict>
                <v:shape id="Obrázek 1" style="position:absolute;left:0;text-align:left;margin-left:156.64992125984253pt;margin-top:19.45pt;width:379.25pt;height:121.15pt;z-index:14;visibility:visible;mso-position-horizontal:absolute;mso-position-vertical:absolute;mso-position-horizontal-relative:margin;mso-position-vertical-relative:text;" o:spid="_x0000_s2067" type="#_x0000_t75">
                  <v:imagedata r:id="rId8" o:title=""/>
                </v:shape>
              </w:pic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do výškového profilu.)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Kudy protéká řeka Morava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a kudy řeka Dřevnice.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(Názvy napište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do výškového profilu.)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120" w:lineRule="auto"/>
              <w:rPr>
                <w:rFonts w:ascii="Arial" w:cs="Arial" w:eastAsia="Arial" w:hAnsi="Arial"/>
                <w:b w:val="1"/>
                <w:color w:val="0066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6600"/>
                <w:rtl w:val="0"/>
              </w:rPr>
              <w:t xml:space="preserve">Aktivita B:</w:t>
            </w:r>
          </w:p>
          <w:p w:rsidR="00000000" w:rsidDel="00000000" w:rsidP="00000000" w:rsidRDefault="00000000" w:rsidRPr="00000000" w14:paraId="00000058">
            <w:pPr>
              <w:spacing w:after="120" w:lineRule="auto"/>
              <w:rPr>
                <w:rFonts w:ascii="Arial" w:cs="Arial" w:eastAsia="Arial" w:hAnsi="Arial"/>
                <w:color w:val="94363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43634"/>
                <w:rtl w:val="0"/>
              </w:rPr>
              <w:t xml:space="preserve">Žáci nejprve pracují s textem (pochopení významu výrazu „sakrální“). Můžete se také zeptat žáků, zda si vybaví, jaké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943634"/>
                <w:u w:val="single"/>
                <w:rtl w:val="0"/>
              </w:rPr>
              <w:t xml:space="preserve">sakrální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943634"/>
                <w:rtl w:val="0"/>
              </w:rPr>
              <w:t xml:space="preserve"> památky byly zmíněny ve videu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ff0000"/>
                <w:rtl w:val="0"/>
              </w:rPr>
              <w:t xml:space="preserve">(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rtl w:val="0"/>
              </w:rPr>
              <w:t xml:space="preserve">kostel, bazilika, poutní místo</w:t>
            </w:r>
            <w:r w:rsidDel="00000000" w:rsidR="00000000" w:rsidRPr="00000000">
              <w:rPr>
                <w:rFonts w:ascii="Arial" w:cs="Arial" w:eastAsia="Arial" w:hAnsi="Arial"/>
                <w:color w:val="0200ff"/>
                <w:rtl w:val="0"/>
              </w:rPr>
              <w:t xml:space="preserve"> / церква, базиліка, місце паломництва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rtl w:val="0"/>
              </w:rPr>
              <w:t xml:space="preserve">)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94363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120" w:lineRule="auto"/>
              <w:rPr>
                <w:rFonts w:ascii="Arial" w:cs="Arial" w:eastAsia="Arial" w:hAnsi="Arial"/>
                <w:i w:val="1"/>
                <w:color w:val="94363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43634"/>
                <w:rtl w:val="0"/>
              </w:rPr>
              <w:t xml:space="preserve">Pro pochopení významu pojmu „náboženský turismus“ můžete žákům následně položit doplňující otázky, jako například: Slyšeli jste někdy o akci Noc kostelů? Navštívili jste v rámci této akce nějaké místo? Navštívili jste někdy v ČR nebo v zahraničí nějakou památku spojenou s 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943634"/>
                <w:highlight w:val="white"/>
                <w:rtl w:val="0"/>
              </w:rPr>
              <w:t xml:space="preserve">náboženstvím (stavby, poutní místa a podobně)? Proč jste tuto památku navštívili?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12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120" w:lineRule="auto"/>
              <w:rPr>
                <w:rFonts w:ascii="Arial" w:cs="Arial" w:eastAsia="Arial" w:hAnsi="Arial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Přečtěte si následující text. Co si představíte pod slovním spojením „sakrální památky“?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(v textu podtrženo)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120" w:lineRule="auto"/>
              <w:rPr>
                <w:rFonts w:ascii="Arial" w:cs="Arial" w:eastAsia="Arial" w:hAnsi="Arial"/>
                <w:color w:val="0200ff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highlight w:val="white"/>
                <w:rtl w:val="0"/>
              </w:rPr>
              <w:t xml:space="preserve">Příklady odpovědí:  náboženské památky; </w:t>
            </w:r>
            <w:hyperlink r:id="rId30">
              <w:r w:rsidDel="00000000" w:rsidR="00000000" w:rsidRPr="00000000">
                <w:rPr>
                  <w:rFonts w:ascii="Arial" w:cs="Arial" w:eastAsia="Arial" w:hAnsi="Arial"/>
                  <w:color w:val="ff0000"/>
                  <w:rtl w:val="0"/>
                </w:rPr>
                <w:t xml:space="preserve">stavby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ff0000"/>
                <w:highlight w:val="white"/>
                <w:rtl w:val="0"/>
              </w:rPr>
              <w:t xml:space="preserve"> sloužící pro </w:t>
            </w:r>
            <w:hyperlink r:id="rId31">
              <w:r w:rsidDel="00000000" w:rsidR="00000000" w:rsidRPr="00000000">
                <w:rPr>
                  <w:rFonts w:ascii="Arial" w:cs="Arial" w:eastAsia="Arial" w:hAnsi="Arial"/>
                  <w:color w:val="ff0000"/>
                  <w:rtl w:val="0"/>
                </w:rPr>
                <w:t xml:space="preserve">náboženské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ff0000"/>
                <w:highlight w:val="white"/>
                <w:rtl w:val="0"/>
              </w:rPr>
              <w:t xml:space="preserve"> účely;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rtl w:val="0"/>
              </w:rPr>
              <w:t xml:space="preserve">památky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highlight w:val="white"/>
                <w:rtl w:val="0"/>
              </w:rPr>
              <w:t xml:space="preserve"> náboženského významu </w:t>
            </w:r>
            <w:r w:rsidDel="00000000" w:rsidR="00000000" w:rsidRPr="00000000">
              <w:rPr>
                <w:rFonts w:ascii="Arial" w:cs="Arial" w:eastAsia="Arial" w:hAnsi="Arial"/>
                <w:color w:val="0200ff"/>
                <w:highlight w:val="white"/>
                <w:rtl w:val="0"/>
              </w:rPr>
              <w:t xml:space="preserve">/ релігійні пам'ятки; будівлі, що використовуються для духовних цілей; пам'ятки релігійного значення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120" w:lineRule="auto"/>
              <w:rPr>
                <w:rFonts w:ascii="Arial" w:cs="Arial" w:eastAsia="Arial" w:hAnsi="Arial"/>
                <w:vertAlign w:val="superscript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Náboženský turismus </w:t>
            </w: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je jedním z rychle rostoucích odvětví cestovního ruchu. „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Náboženský turismus </w:t>
            </w:r>
            <w:r w:rsidDel="00000000" w:rsidR="00000000" w:rsidRPr="00000000">
              <w:rPr>
                <w:rFonts w:ascii="Arial" w:cs="Arial" w:eastAsia="Arial" w:hAnsi="Arial"/>
                <w:highlight w:val="white"/>
                <w:rtl w:val="0"/>
              </w:rPr>
              <w:t xml:space="preserve">lze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vnímat jako širší kategorii cestování k náboženským místům, která zahrnuje jak poutnický turismus, tak turismus památkově-informační orientace (tedy náboženský turismus lidí bez náboženského přesvědčení).“</w:t>
            </w:r>
            <w:r w:rsidDel="00000000" w:rsidR="00000000" w:rsidRPr="00000000">
              <w:rPr>
                <w:rFonts w:ascii="Arial" w:cs="Arial" w:eastAsia="Arial" w:hAnsi="Arial"/>
                <w:vertAlign w:val="superscript"/>
                <w:rtl w:val="0"/>
              </w:rPr>
              <w:t xml:space="preserve">9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Podle agentury CzechTourism má Česká republika takové množství </w:t>
            </w:r>
            <w:r w:rsidDel="00000000" w:rsidR="00000000" w:rsidRPr="00000000">
              <w:rPr>
                <w:rFonts w:ascii="Arial" w:cs="Arial" w:eastAsia="Arial" w:hAnsi="Arial"/>
                <w:u w:val="single"/>
                <w:rtl w:val="0"/>
              </w:rPr>
              <w:t xml:space="preserve">sakrálních památek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, že je předurčena k tomu, aby se stala významnou evropskou destinací náboženské turistiky.</w:t>
            </w:r>
            <w:r w:rsidDel="00000000" w:rsidR="00000000" w:rsidRPr="00000000">
              <w:rPr>
                <w:rFonts w:ascii="Arial" w:cs="Arial" w:eastAsia="Arial" w:hAnsi="Arial"/>
                <w:vertAlign w:val="superscript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5E">
            <w:pPr>
              <w:spacing w:after="12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12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Uveďte, jaký přínos může mít podle vás rozvíjející se náboženský turismus pro region.</w:t>
            </w:r>
          </w:p>
          <w:p w:rsidR="00000000" w:rsidDel="00000000" w:rsidP="00000000" w:rsidRDefault="00000000" w:rsidRPr="00000000" w14:paraId="00000060">
            <w:pPr>
              <w:spacing w:after="120" w:lineRule="auto"/>
              <w:rPr>
                <w:rFonts w:ascii="Arial" w:cs="Arial" w:eastAsia="Arial" w:hAnsi="Arial"/>
                <w:i w:val="1"/>
                <w:color w:val="943634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943634"/>
                <w:rtl w:val="0"/>
              </w:rPr>
              <w:t xml:space="preserve">Je vhodné, aby na odpovědích mohli žáci spolupracovat ve dvojicích či skupinách.</w:t>
            </w:r>
          </w:p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color w:val="0200ff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highlight w:val="white"/>
                <w:rtl w:val="0"/>
              </w:rPr>
              <w:t xml:space="preserve">Příklady odpovědí: (vyšší) příjmy do rozpočtu; vytváření (nových) pracovních příležitostí (například ve službách – ubytování, stravování, průvodci); možnost rozvoje některých řemesel a odvětví průmyslu (například stavebnictví – opravy památek); může pomoci kompenzovat negativní důsledky úpadku průmyslové výroby a venkovských oblastí regionu; odpovědi mohou zahrnovat například i zdravotní či vzdělávací přínos pro obyvatele regionu. </w:t>
            </w:r>
            <w:r w:rsidDel="00000000" w:rsidR="00000000" w:rsidRPr="00000000">
              <w:rPr>
                <w:rFonts w:ascii="Arial" w:cs="Arial" w:eastAsia="Arial" w:hAnsi="Arial"/>
                <w:color w:val="0200ff"/>
                <w:highlight w:val="white"/>
                <w:rtl w:val="0"/>
              </w:rPr>
              <w:t xml:space="preserve">/ (вищі) доходи бюджету; створення (нових) можливостей роботи (наприклад, у сфері послуг - проживання, харчування та послуги гіду); можливість розвитку окремих ремесел і виробництв (наприклад, будівництво - ремонт пам'яток); може допомогти компенсувати негативні наслідки спаду промислового виробництва та сільської місцевості в регіоні; Відповіді можуть включати, наприклад, переваги для здоров’я чи освіти для жителів регіону.</w:t>
            </w:r>
          </w:p>
          <w:p w:rsidR="00000000" w:rsidDel="00000000" w:rsidP="00000000" w:rsidRDefault="00000000" w:rsidRPr="00000000" w14:paraId="00000062">
            <w:pPr>
              <w:spacing w:line="3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_______________________________________________________________________________________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63">
      <w:pPr>
        <w:spacing w:before="40" w:lineRule="auto"/>
        <w:rPr>
          <w:rFonts w:ascii="Helvetica Neue" w:cs="Helvetica Neue" w:eastAsia="Helvetica Neue" w:hAnsi="Helvetica Neue"/>
          <w:color w:val="444444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Helvetica Neue" w:cs="Helvetica Neue" w:eastAsia="Helvetica Neue" w:hAnsi="Helvetica Neue"/>
          <w:color w:val="444444"/>
          <w:sz w:val="20"/>
          <w:szCs w:val="20"/>
          <w:highlight w:val="white"/>
          <w:rtl w:val="0"/>
        </w:rPr>
        <w:t xml:space="preserve">Autor PL: J.</w:t>
      </w:r>
      <w:r w:rsidDel="00000000" w:rsidR="00000000" w:rsidRPr="00000000">
        <w:rPr>
          <w:rFonts w:ascii="Helvetica Neue" w:cs="Helvetica Neue" w:eastAsia="Helvetica Neue" w:hAnsi="Helvetica Neue"/>
          <w:color w:val="444444"/>
          <w:sz w:val="20"/>
          <w:szCs w:val="20"/>
          <w:rtl w:val="0"/>
        </w:rPr>
        <w:t xml:space="preserve"> Pernicová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Zdroje: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1</w:t>
      </w:r>
      <w:hyperlink r:id="rId3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8"/>
            <w:szCs w:val="18"/>
            <w:u w:val="none"/>
            <w:shd w:fill="auto" w:val="clear"/>
            <w:vertAlign w:val="baseline"/>
            <w:rtl w:val="0"/>
          </w:rPr>
          <w:t xml:space="preserve">https://wiki.rvp.cz/Kabinet/Mapy/Mapa_ČR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(upraveno)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Publikace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Náboženská víra obyvatel podle Výsledků sčítání lidu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ročník 2014, ČSU, Praha 2014. (sčítání lidu 2011), [online].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ededd3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Google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ededd3" w:val="clear"/>
          <w:vertAlign w:val="baseline"/>
          <w:rtl w:val="0"/>
        </w:rPr>
        <w:t xml:space="preserve"> [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online]. Dostupné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ededd3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z: </w:t>
      </w:r>
      <w:hyperlink r:id="rId3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8"/>
            <w:szCs w:val="18"/>
            <w:u w:val="none"/>
            <w:shd w:fill="auto" w:val="clear"/>
            <w:vertAlign w:val="baseline"/>
            <w:rtl w:val="0"/>
          </w:rPr>
          <w:t xml:space="preserve">https://www.google.cz/url?sa=t&amp;rct=j&amp;q=&amp;esrc=s&amp;source=web&amp;cd=&amp;ved=2ahUKEwjS6tmT94v0AhU07rsIHexIDi8QFnoECAUQAQ&amp;url=https%3A%2F%2Fwww.czso.cz%2Fdocuments%2F10180%2F20551795%2F17022014a03.docx%2F44d34c03-2011-43a6-90f8-dba295fd535e%3Fversion%3D1.0&amp;usg=AOvVaw2RIJ-R51WHre6n033boQm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Sčítání lidu, domů a bytů, 2011, Podíl věřících hlásících se k církvi, náboženské společnosti [online]. Dostupné z: </w:t>
      </w:r>
      <w:hyperlink r:id="rId3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8"/>
            <w:szCs w:val="18"/>
            <w:u w:val="none"/>
            <w:shd w:fill="auto" w:val="clear"/>
            <w:vertAlign w:val="baseline"/>
            <w:rtl w:val="0"/>
          </w:rPr>
          <w:t xml:space="preserve">http://www.czso.cz/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5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Úvod - Biskupství českobudějovické [online]. Copyright © [cit. 09.11.2021]. Dostupné z: </w:t>
      </w:r>
      <w:hyperlink r:id="rId3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8"/>
            <w:szCs w:val="18"/>
            <w:u w:val="none"/>
            <w:shd w:fill="auto" w:val="clear"/>
            <w:vertAlign w:val="baseline"/>
            <w:rtl w:val="0"/>
          </w:rPr>
          <w:t xml:space="preserve">https://www.bcb.cz/wp-content/uploads/2021/03/Brezen-2021_www.pdf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Úvod - Otevřené Brány. Úvod - Otevřené Brány [online]. Copyright © 2017 Reklamní Inženýři [cit. 09.11.2021]. Dostupné z: </w:t>
      </w:r>
      <w:hyperlink r:id="rId3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8"/>
            <w:szCs w:val="18"/>
            <w:u w:val="none"/>
            <w:shd w:fill="auto" w:val="clear"/>
            <w:vertAlign w:val="baseline"/>
            <w:rtl w:val="0"/>
          </w:rPr>
          <w:t xml:space="preserve">https://otevrenebrany.cz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obr. 1: Svatý Hostýn - Otevřené Brány. Úvod - Otevřené Brány [online]. Copyright © 2017 Reklamní Inženýři [cit. 10.11.2021]. Dostupné z: </w:t>
      </w:r>
      <w:hyperlink r:id="rId3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8"/>
            <w:szCs w:val="18"/>
            <w:u w:val="none"/>
            <w:shd w:fill="auto" w:val="clear"/>
            <w:vertAlign w:val="baseline"/>
            <w:rtl w:val="0"/>
          </w:rPr>
          <w:t xml:space="preserve">https://otevrenebrany.cz/569-2/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; obr. 2: viz video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Vítejte ve Zlíně — Turistický informační portál města Zlína [online]. Dostupné z: </w:t>
      </w:r>
      <w:hyperlink r:id="rId3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8"/>
            <w:szCs w:val="18"/>
            <w:u w:val="none"/>
            <w:shd w:fill="auto" w:val="clear"/>
            <w:vertAlign w:val="baseline"/>
            <w:rtl w:val="0"/>
          </w:rPr>
          <w:t xml:space="preserve">http://www.ic-zlin.cz/wcd/pages/atraktivity/brozury/putujme-bez-hranic-jablunkov-velehrad_660x450_final.pdf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Jan Hron. Náboženský turismus, nebo turismus jako náboženství? Několik poznámek ke studiu vztahů mezi náboženstvím a turismem, Religio, XXV/2017/2/Studie, Digital Library, Faculty of Arts, MU [online]. Copyright © [cit. 09.11.2021]. Dostupné z: </w:t>
      </w:r>
      <w:hyperlink r:id="rId3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8"/>
            <w:szCs w:val="18"/>
            <w:u w:val="none"/>
            <w:shd w:fill="auto" w:val="clear"/>
            <w:vertAlign w:val="baseline"/>
            <w:rtl w:val="0"/>
          </w:rPr>
          <w:t xml:space="preserve">https://digilib.phil.muni.cz/bitstream/handle/11222.digilib/137715/2_Religio_25-2017-2_3.pdf?sequence=1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Církevní turistika – trend budoucnosti? | CELYOTURISMU.CZ. CELÝOTURISMU.CZ [online]. Copyright © 2021 [cit. 09.11.2021]. Dostupné z: </w:t>
      </w:r>
      <w:hyperlink r:id="rId4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8"/>
            <w:szCs w:val="18"/>
            <w:u w:val="none"/>
            <w:shd w:fill="auto" w:val="clear"/>
            <w:vertAlign w:val="baseline"/>
            <w:rtl w:val="0"/>
          </w:rPr>
          <w:t xml:space="preserve">https://celyoturismu.cz/cirkevni-turistika-trend-budoucnosti/</w:t>
        </w:r>
      </w:hyperlink>
      <w:r w:rsidDel="00000000" w:rsidR="00000000" w:rsidRPr="00000000">
        <w:rPr>
          <w:rtl w:val="0"/>
        </w:rPr>
      </w:r>
    </w:p>
    <w:sectPr>
      <w:headerReference r:id="rId41" w:type="default"/>
      <w:footerReference r:id="rId42" w:type="default"/>
      <w:pgSz w:h="16838" w:w="11906" w:orient="portrait"/>
      <w:pgMar w:bottom="426" w:top="74" w:left="567" w:right="567" w:header="142" w:footer="12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ource Sans Pro SemiBold">
    <w:embedRegular w:fontKey="{00000000-0000-0000-0000-000000000000}" r:id="rId12" w:subsetted="0"/>
    <w:embedBold w:fontKey="{00000000-0000-0000-0000-000000000000}" r:id="rId13" w:subsetted="0"/>
    <w:embedItalic w:fontKey="{00000000-0000-0000-0000-000000000000}" r:id="rId14" w:subsetted="0"/>
    <w:embedBoldItalic w:fontKey="{00000000-0000-0000-0000-000000000000}" r:id="rId15" w:subsetted="0"/>
  </w:font>
  <w:font w:name="Helvetica Neue">
    <w:embedRegular w:fontKey="{00000000-0000-0000-0000-000000000000}" r:id="rId16" w:subsetted="0"/>
    <w:embedBold w:fontKey="{00000000-0000-0000-0000-000000000000}" r:id="rId17" w:subsetted="0"/>
    <w:embedItalic w:fontKey="{00000000-0000-0000-0000-000000000000}" r:id="rId18" w:subsetted="0"/>
    <w:embedBoldItalic w:fontKey="{00000000-0000-0000-0000-000000000000}" r:id="rId19" w:subsetted="0"/>
  </w:font>
  <w:font w:name="Source Sans Pro">
    <w:embedRegular w:fontKey="{00000000-0000-0000-0000-000000000000}" r:id="rId20" w:subsetted="0"/>
    <w:embedBold w:fontKey="{00000000-0000-0000-0000-000000000000}" r:id="rId21" w:subsetted="0"/>
    <w:embedItalic w:fontKey="{00000000-0000-0000-0000-000000000000}" r:id="rId22" w:subsetted="0"/>
    <w:embedBoldItalic w:fontKey="{00000000-0000-0000-0000-000000000000}" r:id="rId2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Source Sans Pro" w:cs="Source Sans Pro" w:eastAsia="Source Sans Pro" w:hAnsi="Source Sans Pr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rPr>
        <w:sz w:val="2"/>
        <w:szCs w:val="2"/>
      </w:rPr>
    </w:pPr>
    <w:r w:rsidDel="00000000" w:rsidR="00000000" w:rsidRPr="00000000">
      <w:rPr>
        <w:rtl w:val="0"/>
      </w:rPr>
    </w:r>
    <w:r w:rsidDel="00000000" w:rsidR="00000000" w:rsidRPr="00000000">
      <w:pict>
        <v:shape id="image3.png" style="position:absolute;margin-left:505.8pt;margin-top:14.65pt;width:40.15pt;height:46.85pt;z-index:1;visibility:visible;mso-wrap-distance-top:9pt;mso-wrap-distance-bottom:9pt;mso-position-horizontal:absolute;mso-position-vertical:absolute;mso-position-horizontal-relative:margin;mso-position-vertical-relative:text;" o:spid="_x0000_s1025" type="#_x0000_t75">
          <v:imagedata r:id="rId9" o:title=""/>
          <w10:wrap type="square"/>
        </v:shape>
      </w:pict>
    </w:r>
  </w:p>
  <w:tbl>
    <w:tblPr>
      <w:tblStyle w:val="Table2"/>
      <w:tblW w:w="9915.0" w:type="dxa"/>
      <w:jc w:val="left"/>
      <w:tblInd w:w="2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000"/>
    </w:tblPr>
    <w:tblGrid>
      <w:gridCol w:w="7095"/>
      <w:gridCol w:w="2820"/>
      <w:tblGridChange w:id="0">
        <w:tblGrid>
          <w:gridCol w:w="7095"/>
          <w:gridCol w:w="2820"/>
        </w:tblGrid>
      </w:tblGridChange>
    </w:tblGrid>
    <w:tr>
      <w:trPr>
        <w:cantSplit w:val="0"/>
        <w:trHeight w:val="180" w:hRule="atLeast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7B">
          <w:pPr>
            <w:rPr>
              <w:rFonts w:ascii="Arial" w:cs="Arial" w:eastAsia="Arial" w:hAnsi="Arial"/>
              <w:b w:val="1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C">
          <w:pPr>
            <w:rPr>
              <w:rFonts w:ascii="Arial" w:cs="Arial" w:eastAsia="Arial" w:hAnsi="Arial"/>
              <w:b w:val="1"/>
            </w:rPr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ZLÍNSKÝ KRAJ ‒ OBYVATELSTVO, NÁBOŽENSKÁ TURISTIKA</w:t>
          </w:r>
        </w:p>
        <w:p w:rsidR="00000000" w:rsidDel="00000000" w:rsidP="00000000" w:rsidRDefault="00000000" w:rsidRPr="00000000" w14:paraId="0000007D">
          <w:pPr>
            <w:rPr>
              <w:rFonts w:ascii="Arial" w:cs="Arial" w:eastAsia="Arial" w:hAnsi="Arial"/>
              <w:color w:val="666666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color w:val="666666"/>
              <w:sz w:val="24"/>
              <w:szCs w:val="24"/>
              <w:rtl w:val="0"/>
            </w:rPr>
            <w:t xml:space="preserve">Metodický list pro učitele </w:t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7E">
          <w:pPr>
            <w:rPr>
              <w:rFonts w:ascii="Arial" w:cs="Arial" w:eastAsia="Arial" w:hAnsi="Arial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:</w:t>
          </w:r>
        </w:p>
      </w:tc>
    </w:tr>
  </w:tbl>
  <w:p w:rsidR="00000000" w:rsidDel="00000000" w:rsidP="00000000" w:rsidRDefault="00000000" w:rsidRPr="00000000" w14:paraId="0000007F">
    <w:pPr>
      <w:tabs>
        <w:tab w:val="left" w:pos="720"/>
        <w:tab w:val="left" w:pos="1440"/>
        <w:tab w:val="left" w:pos="2160"/>
        <w:tab w:val="left" w:pos="9000"/>
      </w:tabs>
      <w:rPr/>
    </w:pPr>
    <w:r w:rsidDel="00000000" w:rsidR="00000000" w:rsidRPr="00000000">
      <w:rPr/>
      <w:pict>
        <v:shape id="image2.png" style="position:absolute;margin-left:-2.6pt;margin-top:-13.75pt;width:598.5pt;height:22.5pt;z-index:2;visibility:visible;mso-wrap-distance-top:9pt;mso-wrap-distance-bottom:9pt;mso-position-horizontal-relative:page;mso-position-vertical-relative:page;mso-position-horizontal:absolute;mso-position-vertical:absolute;" o:spid="_x0000_s1026" type="#_x0000_t75">
          <v:imagedata r:id="rId10" o:title=""/>
          <w10:wrap type="square"/>
        </v:shape>
      </w:pict>
    </w:r>
    <w:r w:rsidDel="00000000" w:rsidR="00000000" w:rsidRPr="00000000">
      <w:rPr/>
      <w:pict>
        <v:shape id="image1.png" style="position:absolute;margin-left:658.8pt;margin-top:23.0pt;width:161.35pt;height:63.35pt;z-index:3;visibility:visible;mso-wrap-distance-top:9pt;mso-wrap-distance-bottom:9pt;mso-position-horizontal-relative:page;mso-position-vertical-relative:page;mso-position-horizontal:absolute;mso-position-vertical:absolute;" o:spid="_x0000_s1027" type="#_x0000_t75">
          <v:imagedata r:id="rId11" o:title=""/>
          <w10:wrap type="square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b w:val="1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Sans Pro" w:cs="Source Sans Pro" w:eastAsia="Source Sans Pro" w:hAnsi="Source Sans Pro"/>
        <w:sz w:val="22"/>
        <w:szCs w:val="22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Source Sans Pro SemiBold" w:cs="Source Sans Pro SemiBold" w:eastAsia="Source Sans Pro SemiBold" w:hAnsi="Source Sans Pro SemiBol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Source Sans Pro SemiBold" w:cs="Source Sans Pro SemiBold" w:eastAsia="Source Sans Pro SemiBold" w:hAnsi="Source Sans Pro SemiBol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ln" w:default="1">
    <w:name w:val="Normal"/>
    <w:qFormat w:val="1"/>
    <w:rsid w:val="001E58CD"/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 w:val="1"/>
    <w:rsid w:val="001E58CD"/>
    <w:pPr>
      <w:keepNext w:val="1"/>
      <w:keepLines w:val="1"/>
      <w:spacing w:after="120" w:before="400"/>
      <w:outlineLvl w:val="0"/>
    </w:pPr>
    <w:rPr>
      <w:rFonts w:ascii="Source Sans Pro SemiBold" w:cs="Source Sans Pro SemiBold" w:hAnsi="Source Sans Pro SemiBold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9"/>
    <w:qFormat w:val="1"/>
    <w:rsid w:val="001E58CD"/>
    <w:pPr>
      <w:keepNext w:val="1"/>
      <w:keepLines w:val="1"/>
      <w:spacing w:after="120" w:before="360"/>
      <w:outlineLvl w:val="1"/>
    </w:pPr>
    <w:rPr>
      <w:rFonts w:ascii="Source Sans Pro SemiBold" w:cs="Source Sans Pro SemiBold" w:hAnsi="Source Sans Pro SemiBold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9"/>
    <w:qFormat w:val="1"/>
    <w:rsid w:val="001E58CD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 w:val="1"/>
    <w:rsid w:val="001E58CD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 w:val="1"/>
    <w:rsid w:val="001E58CD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Nadpis6">
    <w:name w:val="heading 6"/>
    <w:basedOn w:val="Normln"/>
    <w:next w:val="Normln"/>
    <w:link w:val="Nadpis6Char"/>
    <w:uiPriority w:val="99"/>
    <w:qFormat w:val="1"/>
    <w:rsid w:val="001E58CD"/>
    <w:pPr>
      <w:keepNext w:val="1"/>
      <w:keepLines w:val="1"/>
      <w:spacing w:after="80" w:before="240"/>
      <w:outlineLvl w:val="5"/>
    </w:pPr>
    <w:rPr>
      <w:i w:val="1"/>
      <w:iCs w:val="1"/>
      <w:color w:val="666666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character" w:styleId="Nadpis1Char" w:customStyle="1">
    <w:name w:val="Nadpis 1 Char"/>
    <w:link w:val="Nadpis1"/>
    <w:uiPriority w:val="9"/>
    <w:rsid w:val="00254209"/>
    <w:rPr>
      <w:rFonts w:ascii="Cambria" w:cs="Times New Roman" w:eastAsia="Times New Roman" w:hAnsi="Cambria"/>
      <w:b w:val="1"/>
      <w:bCs w:val="1"/>
      <w:kern w:val="32"/>
      <w:sz w:val="32"/>
      <w:szCs w:val="32"/>
    </w:rPr>
  </w:style>
  <w:style w:type="character" w:styleId="Nadpis2Char" w:customStyle="1">
    <w:name w:val="Nadpis 2 Char"/>
    <w:link w:val="Nadpis2"/>
    <w:uiPriority w:val="9"/>
    <w:semiHidden w:val="1"/>
    <w:rsid w:val="00254209"/>
    <w:rPr>
      <w:rFonts w:ascii="Cambria" w:cs="Times New Roman" w:eastAsia="Times New Roman" w:hAnsi="Cambria"/>
      <w:b w:val="1"/>
      <w:bCs w:val="1"/>
      <w:i w:val="1"/>
      <w:iCs w:val="1"/>
      <w:sz w:val="28"/>
      <w:szCs w:val="28"/>
    </w:rPr>
  </w:style>
  <w:style w:type="character" w:styleId="Nadpis3Char" w:customStyle="1">
    <w:name w:val="Nadpis 3 Char"/>
    <w:link w:val="Nadpis3"/>
    <w:uiPriority w:val="9"/>
    <w:semiHidden w:val="1"/>
    <w:rsid w:val="00254209"/>
    <w:rPr>
      <w:rFonts w:ascii="Cambria" w:cs="Times New Roman" w:eastAsia="Times New Roman" w:hAnsi="Cambria"/>
      <w:b w:val="1"/>
      <w:bCs w:val="1"/>
      <w:sz w:val="26"/>
      <w:szCs w:val="26"/>
    </w:rPr>
  </w:style>
  <w:style w:type="character" w:styleId="Nadpis4Char" w:customStyle="1">
    <w:name w:val="Nadpis 4 Char"/>
    <w:link w:val="Nadpis4"/>
    <w:uiPriority w:val="9"/>
    <w:semiHidden w:val="1"/>
    <w:rsid w:val="00254209"/>
    <w:rPr>
      <w:rFonts w:ascii="Calibri" w:cs="Times New Roman" w:eastAsia="Times New Roman" w:hAnsi="Calibri"/>
      <w:b w:val="1"/>
      <w:bCs w:val="1"/>
      <w:sz w:val="28"/>
      <w:szCs w:val="28"/>
    </w:rPr>
  </w:style>
  <w:style w:type="character" w:styleId="Nadpis5Char" w:customStyle="1">
    <w:name w:val="Nadpis 5 Char"/>
    <w:link w:val="Nadpis5"/>
    <w:uiPriority w:val="9"/>
    <w:semiHidden w:val="1"/>
    <w:rsid w:val="0025420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character" w:styleId="Nadpis6Char" w:customStyle="1">
    <w:name w:val="Nadpis 6 Char"/>
    <w:link w:val="Nadpis6"/>
    <w:uiPriority w:val="9"/>
    <w:semiHidden w:val="1"/>
    <w:rsid w:val="00254209"/>
    <w:rPr>
      <w:rFonts w:ascii="Calibri" w:cs="Times New Roman" w:eastAsia="Times New Roman" w:hAnsi="Calibri"/>
      <w:b w:val="1"/>
      <w:bCs w:val="1"/>
    </w:rPr>
  </w:style>
  <w:style w:type="table" w:styleId="TableNormal1" w:customStyle="1">
    <w:name w:val="Table Normal1"/>
    <w:uiPriority w:val="99"/>
    <w:rsid w:val="001E58CD"/>
    <w:rPr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 w:val="1"/>
    <w:rsid w:val="001E58CD"/>
    <w:pPr>
      <w:keepNext w:val="1"/>
      <w:keepLines w:val="1"/>
      <w:spacing w:after="60"/>
    </w:pPr>
    <w:rPr>
      <w:sz w:val="52"/>
      <w:szCs w:val="52"/>
    </w:rPr>
  </w:style>
  <w:style w:type="character" w:styleId="NzevChar" w:customStyle="1">
    <w:name w:val="Název Char"/>
    <w:link w:val="Nzev"/>
    <w:uiPriority w:val="10"/>
    <w:rsid w:val="00254209"/>
    <w:rPr>
      <w:rFonts w:ascii="Cambria" w:cs="Times New Roman" w:eastAsia="Times New Roman" w:hAnsi="Cambria"/>
      <w:b w:val="1"/>
      <w:bCs w:val="1"/>
      <w:kern w:val="28"/>
      <w:sz w:val="32"/>
      <w:szCs w:val="32"/>
    </w:rPr>
  </w:style>
  <w:style w:type="table" w:styleId="TableNormal2" w:customStyle="1">
    <w:name w:val="Table Normal2"/>
    <w:uiPriority w:val="99"/>
    <w:rsid w:val="001E58CD"/>
    <w:rPr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dnadpis">
    <w:name w:val="Subtitle"/>
    <w:basedOn w:val="Normln"/>
    <w:next w:val="Normln"/>
    <w:link w:val="PodnadpisChar"/>
    <w:uiPriority w:val="99"/>
    <w:qFormat w:val="1"/>
    <w:rsid w:val="001E58CD"/>
    <w:pPr>
      <w:keepNext w:val="1"/>
      <w:keepLines w:val="1"/>
      <w:spacing w:after="320"/>
    </w:pPr>
    <w:rPr>
      <w:rFonts w:ascii="Arial" w:cs="Arial" w:hAnsi="Arial"/>
      <w:color w:val="666666"/>
      <w:sz w:val="30"/>
      <w:szCs w:val="30"/>
    </w:rPr>
  </w:style>
  <w:style w:type="character" w:styleId="PodnadpisChar" w:customStyle="1">
    <w:name w:val="Podnadpis Char"/>
    <w:link w:val="Podnadpis"/>
    <w:uiPriority w:val="11"/>
    <w:rsid w:val="00254209"/>
    <w:rPr>
      <w:rFonts w:ascii="Cambria" w:cs="Times New Roman" w:eastAsia="Times New Roman" w:hAnsi="Cambria"/>
      <w:sz w:val="24"/>
      <w:szCs w:val="24"/>
    </w:rPr>
  </w:style>
  <w:style w:type="table" w:styleId="Styl" w:customStyle="1">
    <w:name w:val="Styl"/>
    <w:basedOn w:val="TableNormal2"/>
    <w:uiPriority w:val="99"/>
    <w:rsid w:val="001E58CD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Styl4" w:customStyle="1">
    <w:name w:val="Styl4"/>
    <w:basedOn w:val="TableNormal2"/>
    <w:uiPriority w:val="99"/>
    <w:rsid w:val="001E58CD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ypertextovodkaz">
    <w:name w:val="Hyperlink"/>
    <w:uiPriority w:val="9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locked w:val="1"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locked w:val="1"/>
  </w:style>
  <w:style w:type="paragraph" w:styleId="Odstavecseseznamem">
    <w:name w:val="List Paragraph"/>
    <w:basedOn w:val="Normln"/>
    <w:uiPriority w:val="99"/>
    <w:qFormat w:val="1"/>
    <w:pPr>
      <w:ind w:left="720"/>
    </w:pPr>
  </w:style>
  <w:style w:type="character" w:styleId="apple-converted-space" w:customStyle="1">
    <w:name w:val="apple-converted-space"/>
    <w:basedOn w:val="Standardnpsmoodstavce"/>
    <w:uiPriority w:val="99"/>
  </w:style>
  <w:style w:type="table" w:styleId="Styl3" w:customStyle="1">
    <w:name w:val="Styl3"/>
    <w:basedOn w:val="TableNormal2"/>
    <w:uiPriority w:val="99"/>
    <w:rsid w:val="001E58CD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Styl2" w:customStyle="1">
    <w:name w:val="Styl2"/>
    <w:basedOn w:val="TableNormal2"/>
    <w:uiPriority w:val="99"/>
    <w:rsid w:val="001E58CD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xtpoznpodarou">
    <w:name w:val="footnote text"/>
    <w:basedOn w:val="Normln"/>
    <w:link w:val="TextpoznpodarouChar"/>
    <w:uiPriority w:val="99"/>
    <w:semiHidden w:val="1"/>
    <w:rsid w:val="00BD4C23"/>
    <w:rPr>
      <w:sz w:val="20"/>
      <w:szCs w:val="20"/>
    </w:rPr>
  </w:style>
  <w:style w:type="character" w:styleId="TextpoznpodarouChar" w:customStyle="1">
    <w:name w:val="Text pozn. pod čarou Char"/>
    <w:link w:val="Textpoznpodarou"/>
    <w:uiPriority w:val="99"/>
    <w:semiHidden w:val="1"/>
    <w:locked w:val="1"/>
    <w:rsid w:val="00BD4C23"/>
    <w:rPr>
      <w:sz w:val="20"/>
      <w:szCs w:val="20"/>
    </w:rPr>
  </w:style>
  <w:style w:type="character" w:styleId="Znakapoznpodarou">
    <w:name w:val="footnote reference"/>
    <w:uiPriority w:val="99"/>
    <w:semiHidden w:val="1"/>
    <w:rsid w:val="00BD4C23"/>
    <w:rPr>
      <w:vertAlign w:val="superscript"/>
    </w:rPr>
  </w:style>
  <w:style w:type="table" w:styleId="Mkatabulky">
    <w:name w:val="Table Grid"/>
    <w:basedOn w:val="Normlntabulka"/>
    <w:uiPriority w:val="99"/>
    <w:rsid w:val="00B01C9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tyl1" w:customStyle="1">
    <w:name w:val="Styl1"/>
    <w:uiPriority w:val="99"/>
    <w:rsid w:val="008858E2"/>
    <w:pPr>
      <w:suppressAutoHyphens w:val="1"/>
      <w:autoSpaceDE w:val="0"/>
    </w:pPr>
    <w:rPr>
      <w:rFonts w:ascii="Arial" w:cs="Arial" w:eastAsia="Times New Roman" w:hAnsi="Arial"/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uiPriority w:val="99"/>
    <w:semiHidden w:val="1"/>
    <w:rsid w:val="00EA57BC"/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link w:val="Textbubliny"/>
    <w:uiPriority w:val="99"/>
    <w:semiHidden w:val="1"/>
    <w:locked w:val="1"/>
    <w:rsid w:val="00EA57BC"/>
    <w:rPr>
      <w:rFonts w:ascii="Tahoma" w:cs="Tahoma" w:hAnsi="Tahoma"/>
      <w:sz w:val="16"/>
      <w:szCs w:val="16"/>
    </w:rPr>
  </w:style>
  <w:style w:type="character" w:styleId="Zdraznn">
    <w:name w:val="Emphasis"/>
    <w:uiPriority w:val="99"/>
    <w:qFormat w:val="1"/>
    <w:rsid w:val="008B611B"/>
    <w:rPr>
      <w:i w:val="1"/>
      <w:iCs w:val="1"/>
    </w:rPr>
  </w:style>
  <w:style w:type="character" w:styleId="Siln">
    <w:name w:val="Strong"/>
    <w:uiPriority w:val="99"/>
    <w:qFormat w:val="1"/>
    <w:rsid w:val="00C74450"/>
    <w:rPr>
      <w:b w:val="1"/>
      <w:bCs w:val="1"/>
    </w:rPr>
  </w:style>
  <w:style w:type="paragraph" w:styleId="Normlnweb">
    <w:name w:val="Normal (Web)"/>
    <w:basedOn w:val="Normln"/>
    <w:uiPriority w:val="99"/>
    <w:rsid w:val="001B4D13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character" w:styleId="Sledovanodkaz">
    <w:name w:val="FollowedHyperlink"/>
    <w:uiPriority w:val="99"/>
    <w:semiHidden w:val="1"/>
    <w:rsid w:val="00007445"/>
    <w:rPr>
      <w:color w:val="800080"/>
      <w:u w:val="single"/>
    </w:rPr>
  </w:style>
  <w:style w:type="paragraph" w:styleId="Revize">
    <w:name w:val="Revision"/>
    <w:hidden w:val="1"/>
    <w:uiPriority w:val="99"/>
    <w:semiHidden w:val="1"/>
    <w:rsid w:val="00435A1E"/>
    <w:rPr>
      <w:sz w:val="22"/>
      <w:szCs w:val="2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celyoturismu.cz/cirkevni-turistika-trend-budoucnosti/" TargetMode="External"/><Relationship Id="rId20" Type="http://schemas.openxmlformats.org/officeDocument/2006/relationships/hyperlink" Target="https://edu.ceskatelevize.cz/video/11977-zlinsky-kraj-poutni-mista?vsrc=vyhledavani&amp;vsrcid=11977" TargetMode="External"/><Relationship Id="rId42" Type="http://schemas.openxmlformats.org/officeDocument/2006/relationships/footer" Target="footer1.xml"/><Relationship Id="rId41" Type="http://schemas.openxmlformats.org/officeDocument/2006/relationships/header" Target="header1.xml"/><Relationship Id="rId22" Type="http://schemas.openxmlformats.org/officeDocument/2006/relationships/image" Target="media/image12.png"/><Relationship Id="rId21" Type="http://schemas.openxmlformats.org/officeDocument/2006/relationships/hyperlink" Target="https://edu.ceskatelevize.cz/video/11976-zlinsky-kraj-a-film?vsrc=vyhledavani&amp;vsrcid=11976" TargetMode="External"/><Relationship Id="rId24" Type="http://schemas.openxmlformats.org/officeDocument/2006/relationships/image" Target="media/image13.png"/><Relationship Id="rId23" Type="http://schemas.openxmlformats.org/officeDocument/2006/relationships/image" Target="media/image16.png"/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Relationship Id="rId4" Type="http://schemas.openxmlformats.org/officeDocument/2006/relationships/image" Target="media/image5.png"/><Relationship Id="rId26" Type="http://schemas.openxmlformats.org/officeDocument/2006/relationships/image" Target="media/image15.png"/><Relationship Id="rId25" Type="http://schemas.openxmlformats.org/officeDocument/2006/relationships/image" Target="media/image17.png"/><Relationship Id="rId28" Type="http://schemas.openxmlformats.org/officeDocument/2006/relationships/hyperlink" Target="http://old.maticevelehradska.cz/dokument/Poutni-cesta-Velehrad---Sv-Hostyn-106/" TargetMode="External"/><Relationship Id="rId27" Type="http://schemas.openxmlformats.org/officeDocument/2006/relationships/image" Target="media/image14.png"/><Relationship Id="rId5" Type="http://schemas.openxmlformats.org/officeDocument/2006/relationships/image" Target="media/image4.png"/><Relationship Id="rId6" Type="http://schemas.openxmlformats.org/officeDocument/2006/relationships/image" Target="media/image7.png"/><Relationship Id="rId29" Type="http://schemas.openxmlformats.org/officeDocument/2006/relationships/image" Target="media/image18.png"/><Relationship Id="rId7" Type="http://schemas.openxmlformats.org/officeDocument/2006/relationships/image" Target="media/image6.jpg"/><Relationship Id="rId8" Type="http://schemas.openxmlformats.org/officeDocument/2006/relationships/image" Target="media/image9.png"/><Relationship Id="rId31" Type="http://schemas.openxmlformats.org/officeDocument/2006/relationships/hyperlink" Target="https://cs.wikipedia.org/wiki/N%C3%A1bo%C5%BEenstv%C3%AD" TargetMode="External"/><Relationship Id="rId30" Type="http://schemas.openxmlformats.org/officeDocument/2006/relationships/hyperlink" Target="https://cs.wikipedia.org/wiki/Stavba" TargetMode="External"/><Relationship Id="rId33" Type="http://schemas.openxmlformats.org/officeDocument/2006/relationships/hyperlink" Target="https://www.google.cz/url?sa=t&amp;rct=j&amp;q=&amp;esrc=s&amp;source=web&amp;cd=&amp;ved=2ahUKEwjS6tmT94v0AhU07rsIHexIDi8QFnoECAUQAQ&amp;url=https%3A%2F%2Fwww.czso.cz%2Fdocuments%2F10180%2F20551795%2F17022014a03.docx%2F44d34c03-2011-43a6-90f8-dba295fd535e%3Fversion%3D1.0&amp;usg=AOvVaw2RIJ-R51WHre6n033boQm6" TargetMode="External"/><Relationship Id="rId32" Type="http://schemas.openxmlformats.org/officeDocument/2006/relationships/hyperlink" Target="https://wiki.rvp.cz/Kabinet/Mapy/Mapa_%C4%8CR" TargetMode="External"/><Relationship Id="rId13" Type="http://schemas.openxmlformats.org/officeDocument/2006/relationships/settings" Target="settings.xml"/><Relationship Id="rId35" Type="http://schemas.openxmlformats.org/officeDocument/2006/relationships/hyperlink" Target="https://www.bcb.cz/wp-content/uploads/2021/03/Brezen-2021_www.pdf" TargetMode="External"/><Relationship Id="rId12" Type="http://schemas.openxmlformats.org/officeDocument/2006/relationships/theme" Target="theme/theme1.xml"/><Relationship Id="rId34" Type="http://schemas.openxmlformats.org/officeDocument/2006/relationships/hyperlink" Target="http://www.czso.cz/" TargetMode="External"/><Relationship Id="rId15" Type="http://schemas.openxmlformats.org/officeDocument/2006/relationships/numbering" Target="numbering.xml"/><Relationship Id="rId37" Type="http://schemas.openxmlformats.org/officeDocument/2006/relationships/hyperlink" Target="https://otevrenebrany.cz/569-2/" TargetMode="External"/><Relationship Id="rId14" Type="http://schemas.openxmlformats.org/officeDocument/2006/relationships/fontTable" Target="fontTable.xml"/><Relationship Id="rId36" Type="http://schemas.openxmlformats.org/officeDocument/2006/relationships/hyperlink" Target="https://otevrenebrany.cz/" TargetMode="External"/><Relationship Id="rId17" Type="http://schemas.openxmlformats.org/officeDocument/2006/relationships/customXml" Target="../customXML/item1.xml"/><Relationship Id="rId39" Type="http://schemas.openxmlformats.org/officeDocument/2006/relationships/hyperlink" Target="https://digilib.phil.muni.cz/bitstream/handle/11222.digilib/137715/2_Religio_25-2017-2_3.pdf?sequence=1" TargetMode="External"/><Relationship Id="rId16" Type="http://schemas.openxmlformats.org/officeDocument/2006/relationships/styles" Target="styles.xml"/><Relationship Id="rId38" Type="http://schemas.openxmlformats.org/officeDocument/2006/relationships/hyperlink" Target="http://www.ic-zlin.cz/wcd/pages/atraktivity/brozury/putujme-bez-hranic-jablunkov-velehrad_660x450_final.pdf" TargetMode="External"/><Relationship Id="rId19" Type="http://schemas.openxmlformats.org/officeDocument/2006/relationships/hyperlink" Target="https://edu.ceskatelevize.cz/video/11979-batuv-zlin?vsrc=vyhledavani&amp;vsrcid=11979" TargetMode="External"/><Relationship Id="rId18" Type="http://schemas.openxmlformats.org/officeDocument/2006/relationships/hyperlink" Target="https://edu.ceskatelevize.cz/video/11983-zlinsky-kraj-batuv-kanal?vsrc=vyhledavani&amp;vsrcid=11983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SourceSansPro-regular.ttf"/><Relationship Id="rId22" Type="http://schemas.openxmlformats.org/officeDocument/2006/relationships/font" Target="fonts/SourceSansPro-italic.ttf"/><Relationship Id="rId21" Type="http://schemas.openxmlformats.org/officeDocument/2006/relationships/font" Target="fonts/SourceSansPro-bold.ttf"/><Relationship Id="rId13" Type="http://schemas.openxmlformats.org/officeDocument/2006/relationships/font" Target="fonts/SourceSansProSemiBold-bold.ttf"/><Relationship Id="rId12" Type="http://schemas.openxmlformats.org/officeDocument/2006/relationships/font" Target="fonts/SourceSansProSemiBold-regular.ttf"/><Relationship Id="rId23" Type="http://schemas.openxmlformats.org/officeDocument/2006/relationships/font" Target="fonts/SourceSansPro-boldItalic.ttf"/><Relationship Id="rId15" Type="http://schemas.openxmlformats.org/officeDocument/2006/relationships/font" Target="fonts/SourceSansProSemiBold-boldItalic.ttf"/><Relationship Id="rId14" Type="http://schemas.openxmlformats.org/officeDocument/2006/relationships/font" Target="fonts/SourceSansProSemiBold-italic.ttf"/><Relationship Id="rId17" Type="http://schemas.openxmlformats.org/officeDocument/2006/relationships/font" Target="fonts/HelveticaNeue-bold.ttf"/><Relationship Id="rId16" Type="http://schemas.openxmlformats.org/officeDocument/2006/relationships/font" Target="fonts/HelveticaNeue-regular.ttf"/><Relationship Id="rId19" Type="http://schemas.openxmlformats.org/officeDocument/2006/relationships/font" Target="fonts/HelveticaNeue-boldItalic.ttf"/><Relationship Id="rId18" Type="http://schemas.openxmlformats.org/officeDocument/2006/relationships/font" Target="fonts/HelveticaNeue-italic.ttf"/></Relationships>
</file>

<file path=word/_rels/header1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11.pn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iRAsHb36DsF5FAzegNSm9bAMZQ==">AMUW2mUm29JfMvp3kL8iT/qO2q++S+FZ6iGGvmSW4yK+WDha1YmWWl73t27j066WOyqNrMCwDHoM0UO/uNGS/McMmx86ch68lgtV23I3xwKeW+eu5p7IppJs/bM/dW1dMpUECQ3zVG6+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2021-11-18T20:41:00Z</dcterms:created>
  <dc:creator>petr_kopriva</dc:creator>
</cp:coreProperties>
</file>